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w:t xml:space="preserve">Logbook</w:t>
      </w:r>
    </w:p>
    <w:p w14:paraId="32B7AA97" w14:textId="6026DD99" w:rsidR="001B19B9" w:rsidRDefault="00A2722A" w:rsidP="00A2722A">
      <w:pPr>
        <w:spacing w:before="180" w:after="2760"/>
        <w:jc w:val="right"/>
        <w:rPr>
          <w:color w:val="262626" w:themeColor="text1" w:themeTint="D9"/>
          <w:sz w:val="48"/>
          <w:szCs w:val="48"/>
          <w:rFonts w:ascii="Century Gothic" w:hAnsi="Century Gothic"/>
        </w:rPr>
      </w:pPr>
      <w:r>
        <w:rPr>
          <w:color w:val="262626" w:themeColor="text1" w:themeTint="D9"/>
          <w:sz w:val="48"/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DISSEMINATING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6D23DB8" w14:textId="45D1206C" w:rsidR="00F62A9F" w:rsidRPr="004F01F9" w:rsidRDefault="00C849DC">
                            <w:pPr>
                              <w:rPr>
                                <w:color w:val="FFFFFF" w:themeColor="background1"/>
                                <w:spacing w:val="-4"/>
                                <w:sz w:val="32"/>
                                <w:szCs w:val="32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Module 4: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rFonts w:ascii="Century Gothic" w:hAnsi="Century Gothic"/>
                              </w:rPr>
                              <w:t xml:space="preserve">Choosing a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rFonts w:ascii="Century Gothic" w:hAnsi="Century Gothic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DISSEMINATING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rFonts w:ascii="Century Gothic" w:hAnsi="Century Gothic"/>
                        </w:rPr>
                        <w:t xml:space="preserve"> </w:t>
                      </w:r>
                    </w:p>
                    <w:p w14:paraId="66D23DB8" w14:textId="45D1206C" w:rsidR="00F62A9F" w:rsidRPr="004F01F9" w:rsidRDefault="00C849DC">
                      <w:pPr>
                        <w:rPr>
                          <w:color w:val="FFFFFF" w:themeColor="background1"/>
                          <w:spacing w:val="-4"/>
                          <w:sz w:val="32"/>
                          <w:szCs w:val="32"/>
                          <w:rFonts w:ascii="Century Gothic" w:hAnsi="Century Gothic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Module 4: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rFonts w:ascii="Century Gothic" w:hAnsi="Century Gothic"/>
                        </w:rPr>
                        <w:t xml:space="preserve">Choosing a tool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62626" w:themeColor="text1" w:themeTint="D9"/>
          <w:sz w:val="20"/>
          <w:rFonts w:ascii="Century Gothic" w:hAnsi="Century Gothic"/>
        </w:rPr>
        <w:t xml:space="preserve">SECONDARY</w:t>
      </w:r>
    </w:p>
    <w:p w14:paraId="1E8F7FC8" w14:textId="6D8B9A43" w:rsidR="001B19B9" w:rsidRPr="00F27301" w:rsidRDefault="00A2722A" w:rsidP="00A2722A">
      <w:pPr>
        <w:spacing w:before="600" w:after="480"/>
        <w:ind w:right="276"/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  <w:rPr>
          <w:sz w:val="48"/>
          <w:szCs w:val="48"/>
          <w:rFonts w:ascii="Century Gothic" w:hAnsi="Century Gothic"/>
        </w:rPr>
      </w:pPr>
      <w:r>
        <w:rPr>
          <w:sz w:val="48"/>
          <w:rFonts w:ascii="Century Gothic" w:hAnsi="Century Gothic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rFonts w:ascii="Century Gothic" w:hAnsi="Century Gothic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>
        <w:t xml:space="preserve">Logbook</w:t>
      </w:r>
    </w:p>
    <w:p w14:paraId="0DB533DC" w14:textId="145C1CD3" w:rsidR="00CA10D2" w:rsidRDefault="00E828F7" w:rsidP="00CA10D2">
      <w:pPr>
        <w:pStyle w:val="Gabaritsous-titr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>
        <w:t xml:space="preserve">Module 4</w:t>
      </w:r>
      <w:r>
        <w:br/>
      </w:r>
      <w:r>
        <w:t xml:space="preserve">Choosing a tool</w:t>
      </w:r>
    </w:p>
    <w:p w14:paraId="01030489" w14:textId="70CECEE0" w:rsidR="004F01F9" w:rsidRDefault="004F01F9" w:rsidP="004F01F9">
      <w:pPr>
        <w:pStyle w:val="GabaritH2"/>
      </w:pPr>
      <w:r>
        <w:t xml:space="preserve">Objectives of the module</w:t>
      </w:r>
    </w:p>
    <w:p w14:paraId="1F057F7C" w14:textId="77777777" w:rsidR="00983510" w:rsidRPr="00821C49" w:rsidRDefault="00983510" w:rsidP="00983510">
      <w:pPr>
        <w:pStyle w:val="Gabaritlitiret"/>
      </w:pPr>
      <w:r>
        <w:t xml:space="preserve">Choose tools while considering your own strengths and limitations.</w:t>
      </w:r>
      <w:r>
        <w:t xml:space="preserve"> </w:t>
      </w:r>
    </w:p>
    <w:p w14:paraId="30F87C75" w14:textId="77777777" w:rsidR="00983510" w:rsidRPr="00821C49" w:rsidRDefault="00983510" w:rsidP="00983510">
      <w:pPr>
        <w:pStyle w:val="Gabaritlitiret"/>
      </w:pPr>
      <w:r>
        <w:t xml:space="preserve">Questions to ask yourself about the use of a DLE</w:t>
      </w:r>
      <w:r>
        <w:t xml:space="preserve"> </w:t>
      </w:r>
    </w:p>
    <w:p w14:paraId="47CB6820" w14:textId="77777777" w:rsidR="00983510" w:rsidRPr="00821C49" w:rsidRDefault="00983510" w:rsidP="00983510">
      <w:pPr>
        <w:pStyle w:val="Gabaritlitiret"/>
      </w:pPr>
      <w:r>
        <w:t xml:space="preserve">Integrate new tools into your teaching.</w:t>
      </w:r>
    </w:p>
    <w:p w14:paraId="6166625F" w14:textId="77777777" w:rsidR="00983510" w:rsidRPr="00821C49" w:rsidRDefault="00983510" w:rsidP="00983510">
      <w:pPr>
        <w:pStyle w:val="Gabaritlitiret"/>
      </w:pPr>
      <w:r>
        <w:t xml:space="preserve">Compare various technological tools on the secondary school level.</w:t>
      </w:r>
    </w:p>
    <w:p w14:paraId="27A8F8EB" w14:textId="77777777" w:rsidR="00983510" w:rsidRPr="001115C3" w:rsidRDefault="00983510" w:rsidP="00983510">
      <w:pPr>
        <w:pStyle w:val="GabaritH3"/>
        <w:rPr>
          <w:sz w:val="28"/>
          <w:szCs w:val="28"/>
        </w:rPr>
      </w:pPr>
      <w:r>
        <w:t xml:space="preserve">Section:</w:t>
      </w:r>
      <w:r>
        <w:t xml:space="preserve"> </w:t>
      </w:r>
      <w:r>
        <w:t xml:space="preserve">Choosing tools while considering your own strengths and limitations.</w:t>
      </w:r>
      <w:r>
        <w:t xml:space="preserve">  </w:t>
      </w:r>
    </w:p>
    <w:p w14:paraId="18620B3E" w14:textId="01FBB445" w:rsidR="00983510" w:rsidRDefault="00983510" w:rsidP="00983510">
      <w:pPr>
        <w:pStyle w:val="Gabarite9123"/>
      </w:pPr>
      <w:r>
        <w:t xml:space="preserve">In the spring of 2020, you experimented with distance learning and probably tried several tools.</w:t>
      </w:r>
      <w:r>
        <w:t xml:space="preserve"> </w:t>
      </w:r>
      <w:r>
        <w:t xml:space="preserve">Imagine having to once again teach at a distance or in a hybrid format with new groups of students.</w:t>
      </w:r>
      <w:r>
        <w:t xml:space="preserve"> </w:t>
      </w:r>
      <w:r>
        <w:t xml:space="preserve">What would your needs include?</w:t>
      </w:r>
    </w:p>
    <w:p w14:paraId="303F66C0" w14:textId="4325742A" w:rsidR="00983510" w:rsidRPr="004A4892" w:rsidRDefault="00983510" w:rsidP="004A4892">
      <w:pPr>
        <w:pStyle w:val="Gabaritp29"/>
      </w:pPr>
      <w:r>
        <w:fldChar w:fldCharType="begin" w:fldLock="true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0"/>
    </w:p>
    <w:p w14:paraId="588EE88C" w14:textId="4F266BEC" w:rsidR="00983510" w:rsidRPr="00983510" w:rsidRDefault="00983510" w:rsidP="004A4892">
      <w:pPr>
        <w:pStyle w:val="Gabarite9123"/>
        <w:spacing w:after="240"/>
      </w:pPr>
      <w:r>
        <w:t xml:space="preserve">Here are a few questions to ask yourself when looking over a new tool.</w:t>
      </w:r>
      <w:r>
        <w:t xml:space="preserve"> </w:t>
      </w:r>
      <w:r>
        <w:t xml:space="preserve">This grid will help you to </w:t>
      </w:r>
      <w:r>
        <w:rPr>
          <w:b/>
        </w:rPr>
        <w:t xml:space="preserve">assess its educational potential</w:t>
      </w:r>
      <w:r>
        <w:t xml:space="preserve"> as well as the organisational and technical constraints to be taken into account before adopting it.</w:t>
      </w:r>
    </w:p>
    <w:tbl>
      <w:tblPr>
        <w:tblStyle w:val="Grilledutableau"/>
        <w:tblW w:w="4838" w:type="pct"/>
        <w:tblInd w:w="27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2979"/>
        <w:gridCol w:w="2675"/>
        <w:gridCol w:w="2673"/>
      </w:tblGrid>
      <w:tr w:rsidR="004A4892" w14:paraId="3FB8042F" w14:textId="77777777" w:rsidTr="004A4892">
        <w:trPr>
          <w:trHeight w:val="22"/>
          <w:tblHeader/>
        </w:trPr>
        <w:tc>
          <w:tcPr>
            <w:tcW w:w="1789" w:type="pct"/>
            <w:shd w:val="clear" w:color="auto" w:fill="F0E8DE"/>
            <w:vAlign w:val="center"/>
          </w:tcPr>
          <w:p w14:paraId="1F6B396C" w14:textId="77777777" w:rsidR="00983510" w:rsidRPr="00983510" w:rsidRDefault="00983510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The tool...</w:t>
            </w:r>
          </w:p>
        </w:tc>
        <w:tc>
          <w:tcPr>
            <w:tcW w:w="1606" w:type="pct"/>
            <w:shd w:val="clear" w:color="auto" w:fill="F0E8DE"/>
            <w:vAlign w:val="center"/>
          </w:tcPr>
          <w:p w14:paraId="6F86B0E2" w14:textId="77777777" w:rsidR="00983510" w:rsidRPr="00983510" w:rsidRDefault="00983510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Favourable</w:t>
            </w:r>
          </w:p>
        </w:tc>
        <w:tc>
          <w:tcPr>
            <w:tcW w:w="1605" w:type="pct"/>
            <w:shd w:val="clear" w:color="auto" w:fill="F0E8DE"/>
            <w:vAlign w:val="center"/>
          </w:tcPr>
          <w:p w14:paraId="1D3CC757" w14:textId="77777777" w:rsidR="00983510" w:rsidRPr="00983510" w:rsidRDefault="00983510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Unfavourable</w:t>
            </w:r>
          </w:p>
        </w:tc>
      </w:tr>
      <w:tr w:rsidR="004A4892" w:rsidRPr="004A4892" w14:paraId="5D479BA7" w14:textId="77777777" w:rsidTr="004A4892">
        <w:tc>
          <w:tcPr>
            <w:tcW w:w="5000" w:type="pct"/>
            <w:gridSpan w:val="3"/>
            <w:shd w:val="clear" w:color="auto" w:fill="auto"/>
          </w:tcPr>
          <w:p w14:paraId="54E48177" w14:textId="30735CBA" w:rsidR="004A4892" w:rsidRPr="004A4892" w:rsidRDefault="004A4892" w:rsidP="004A4892">
            <w:pPr>
              <w:spacing w:after="0" w:line="259" w:lineRule="auto"/>
              <w:rPr>
                <w:b/>
                <w:bCs/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Pedagogical dimension</w:t>
            </w:r>
          </w:p>
        </w:tc>
      </w:tr>
      <w:tr w:rsidR="004A4892" w14:paraId="5CC83635" w14:textId="77777777" w:rsidTr="004A4892">
        <w:trPr>
          <w:trHeight w:val="242"/>
        </w:trPr>
        <w:tc>
          <w:tcPr>
            <w:tcW w:w="1789" w:type="pct"/>
          </w:tcPr>
          <w:p w14:paraId="1F2B4550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Aligns with the course's learning objectives</w:t>
            </w:r>
          </w:p>
        </w:tc>
        <w:tc>
          <w:tcPr>
            <w:tcW w:w="1606" w:type="pct"/>
          </w:tcPr>
          <w:p w14:paraId="06D83222" w14:textId="41005FC0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  <w:bookmarkEnd w:id="1"/>
          </w:p>
        </w:tc>
        <w:tc>
          <w:tcPr>
            <w:tcW w:w="1605" w:type="pct"/>
          </w:tcPr>
          <w:p w14:paraId="2F07E425" w14:textId="3C1323E3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6C148C6C" w14:textId="77777777" w:rsidTr="004A4892">
        <w:tc>
          <w:tcPr>
            <w:tcW w:w="1789" w:type="pct"/>
          </w:tcPr>
          <w:p w14:paraId="07D47622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Contributes to the development of the skills targeted in the course</w:t>
            </w:r>
          </w:p>
        </w:tc>
        <w:tc>
          <w:tcPr>
            <w:tcW w:w="1606" w:type="pct"/>
          </w:tcPr>
          <w:p w14:paraId="7CC4B8E2" w14:textId="56FC7982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21F5C1B2" w14:textId="3EE492D8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510E9A8B" w14:textId="77777777" w:rsidTr="004A4892">
        <w:tc>
          <w:tcPr>
            <w:tcW w:w="1789" w:type="pct"/>
          </w:tcPr>
          <w:p w14:paraId="6B5C055D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Enables a development of knowledge</w:t>
            </w:r>
          </w:p>
        </w:tc>
        <w:tc>
          <w:tcPr>
            <w:tcW w:w="1606" w:type="pct"/>
          </w:tcPr>
          <w:p w14:paraId="69D9767B" w14:textId="3DD1FC7F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56A34804" w14:textId="444BF62F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65E8305F" w14:textId="77777777" w:rsidTr="004A4892">
        <w:tc>
          <w:tcPr>
            <w:tcW w:w="1789" w:type="pct"/>
          </w:tcPr>
          <w:p w14:paraId="384B9F36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Provides adequate support for students in difficulty</w:t>
            </w:r>
          </w:p>
        </w:tc>
        <w:tc>
          <w:tcPr>
            <w:tcW w:w="1606" w:type="pct"/>
          </w:tcPr>
          <w:p w14:paraId="369EBA0A" w14:textId="2486910B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0253DA3E" w14:textId="48178C6B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3713E1C9" w14:textId="77777777" w:rsidTr="004A4892">
        <w:tc>
          <w:tcPr>
            <w:tcW w:w="1789" w:type="pct"/>
          </w:tcPr>
          <w:p w14:paraId="1794A108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Makes the course content more accessible</w:t>
            </w:r>
          </w:p>
        </w:tc>
        <w:tc>
          <w:tcPr>
            <w:tcW w:w="1606" w:type="pct"/>
          </w:tcPr>
          <w:p w14:paraId="5D2634E9" w14:textId="312D4538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1DC8AFFB" w14:textId="1A0EABAF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164EE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14152273" w14:textId="77777777" w:rsidTr="004A4892">
        <w:tc>
          <w:tcPr>
            <w:tcW w:w="1789" w:type="pct"/>
          </w:tcPr>
          <w:p w14:paraId="10C9BF4D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Makes it possible to diversify the presentation of content and assessment</w:t>
            </w:r>
          </w:p>
        </w:tc>
        <w:tc>
          <w:tcPr>
            <w:tcW w:w="1606" w:type="pct"/>
          </w:tcPr>
          <w:p w14:paraId="26BCBA4D" w14:textId="1F3DD3B9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3143E0D5" w14:textId="14D653BA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098CDE50" w14:textId="77777777" w:rsidTr="004A4892">
        <w:tc>
          <w:tcPr>
            <w:tcW w:w="1789" w:type="pct"/>
          </w:tcPr>
          <w:p w14:paraId="09D74BCE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Promotes the relevant assessment of prior knowledge</w:t>
            </w:r>
          </w:p>
        </w:tc>
        <w:tc>
          <w:tcPr>
            <w:tcW w:w="1606" w:type="pct"/>
          </w:tcPr>
          <w:p w14:paraId="12CB1E32" w14:textId="06D545E0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155218C4" w14:textId="254A5FF0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10BE4379" w14:textId="77777777" w:rsidTr="004A4892">
        <w:tc>
          <w:tcPr>
            <w:tcW w:w="1789" w:type="pct"/>
          </w:tcPr>
          <w:p w14:paraId="7C3964FF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Increases student motivation</w:t>
            </w:r>
          </w:p>
        </w:tc>
        <w:tc>
          <w:tcPr>
            <w:tcW w:w="1606" w:type="pct"/>
          </w:tcPr>
          <w:p w14:paraId="19C93633" w14:textId="49A8359D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5731134D" w14:textId="6D6D5952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14398039" w14:textId="77777777" w:rsidTr="004A4892">
        <w:tc>
          <w:tcPr>
            <w:tcW w:w="1789" w:type="pct"/>
          </w:tcPr>
          <w:p w14:paraId="6E2F2BE8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Provides a good return on the time and effort invested by students</w:t>
            </w:r>
          </w:p>
        </w:tc>
        <w:tc>
          <w:tcPr>
            <w:tcW w:w="1606" w:type="pct"/>
          </w:tcPr>
          <w:p w14:paraId="22B450E7" w14:textId="3D58AF98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7A907DDD" w14:textId="75F7526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71477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:rsidRPr="004A4892" w14:paraId="329BFC2E" w14:textId="77777777" w:rsidTr="004A4892">
        <w:tc>
          <w:tcPr>
            <w:tcW w:w="5000" w:type="pct"/>
            <w:gridSpan w:val="3"/>
            <w:shd w:val="clear" w:color="auto" w:fill="auto"/>
          </w:tcPr>
          <w:p w14:paraId="51CFF94E" w14:textId="15A81D8B" w:rsidR="004A4892" w:rsidRPr="004A4892" w:rsidRDefault="004A4892" w:rsidP="004A4892">
            <w:pPr>
              <w:spacing w:after="0" w:line="259" w:lineRule="auto"/>
              <w:rPr>
                <w:b/>
                <w:bCs/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Organisational dimension</w:t>
            </w:r>
          </w:p>
        </w:tc>
      </w:tr>
      <w:tr w:rsidR="004A4892" w14:paraId="54C7C968" w14:textId="77777777" w:rsidTr="004A4892">
        <w:tc>
          <w:tcPr>
            <w:tcW w:w="1789" w:type="pct"/>
          </w:tcPr>
          <w:p w14:paraId="25263832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Is provided to students by the school organisation</w:t>
            </w:r>
            <w:r>
              <w:rPr>
                <w:sz w:val="18"/>
                <w:rFonts w:ascii="Century Gothic" w:hAnsi="Century Gothic"/>
              </w:rPr>
              <w:t xml:space="preserve"> </w:t>
            </w:r>
          </w:p>
        </w:tc>
        <w:tc>
          <w:tcPr>
            <w:tcW w:w="1606" w:type="pct"/>
          </w:tcPr>
          <w:p w14:paraId="1CBED75F" w14:textId="10228C4E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605916AD" w14:textId="329A7BB6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3F88C30C" w14:textId="77777777" w:rsidTr="004A4892">
        <w:tc>
          <w:tcPr>
            <w:tcW w:w="1789" w:type="pct"/>
          </w:tcPr>
          <w:p w14:paraId="0F867D77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Is available free of charge</w:t>
            </w:r>
          </w:p>
        </w:tc>
        <w:tc>
          <w:tcPr>
            <w:tcW w:w="1606" w:type="pct"/>
          </w:tcPr>
          <w:p w14:paraId="3C954FD0" w14:textId="7608F1C2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4723B2A2" w14:textId="4ABACE3D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2B1C1083" w14:textId="77777777" w:rsidTr="004A4892">
        <w:tc>
          <w:tcPr>
            <w:tcW w:w="1789" w:type="pct"/>
          </w:tcPr>
          <w:p w14:paraId="7CAF8729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Is accompanied by educational / technical support within my organisation</w:t>
            </w:r>
          </w:p>
        </w:tc>
        <w:tc>
          <w:tcPr>
            <w:tcW w:w="1606" w:type="pct"/>
          </w:tcPr>
          <w:p w14:paraId="74E12DFF" w14:textId="7E4EF7DE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7DAE8472" w14:textId="1960EC1A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756D9D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:rsidRPr="004A4892" w14:paraId="51F63095" w14:textId="77777777" w:rsidTr="004A4892">
        <w:tc>
          <w:tcPr>
            <w:tcW w:w="5000" w:type="pct"/>
            <w:gridSpan w:val="3"/>
            <w:shd w:val="clear" w:color="auto" w:fill="auto"/>
          </w:tcPr>
          <w:p w14:paraId="082A1863" w14:textId="0E15DFBE" w:rsidR="004A4892" w:rsidRPr="004A4892" w:rsidRDefault="004A4892" w:rsidP="004A4892">
            <w:pPr>
              <w:spacing w:after="0" w:line="259" w:lineRule="auto"/>
              <w:rPr>
                <w:b/>
                <w:bCs/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b/>
                <w:sz w:val="18"/>
                <w:rFonts w:ascii="Century Gothic" w:hAnsi="Century Gothic"/>
              </w:rPr>
              <w:t xml:space="preserve">Technical dimension</w:t>
            </w:r>
          </w:p>
        </w:tc>
      </w:tr>
      <w:tr w:rsidR="004A4892" w14:paraId="49F6E8ED" w14:textId="77777777" w:rsidTr="004A4892">
        <w:tc>
          <w:tcPr>
            <w:tcW w:w="1789" w:type="pct"/>
          </w:tcPr>
          <w:p w14:paraId="6CB29AD2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Is compatible with the operating systems used by my students</w:t>
            </w:r>
          </w:p>
        </w:tc>
        <w:tc>
          <w:tcPr>
            <w:tcW w:w="1606" w:type="pct"/>
          </w:tcPr>
          <w:p w14:paraId="1AEA4A33" w14:textId="77A681AF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292D4D30" w14:textId="6A683023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46C44BFB" w14:textId="77777777" w:rsidTr="004A4892">
        <w:tc>
          <w:tcPr>
            <w:tcW w:w="1789" w:type="pct"/>
          </w:tcPr>
          <w:p w14:paraId="2052B8AC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Can be used on various devices (tablets, computers, laptops)</w:t>
            </w:r>
          </w:p>
        </w:tc>
        <w:tc>
          <w:tcPr>
            <w:tcW w:w="1606" w:type="pct"/>
          </w:tcPr>
          <w:p w14:paraId="20835988" w14:textId="69EC8573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6A0E6EFA" w14:textId="753731F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373BB8DF" w14:textId="77777777" w:rsidTr="004A4892">
        <w:tc>
          <w:tcPr>
            <w:tcW w:w="1789" w:type="pct"/>
          </w:tcPr>
          <w:p w14:paraId="73A3A9E2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Can be integrated into the digital learning environment (DLE) chosen by my organisation?</w:t>
            </w:r>
          </w:p>
        </w:tc>
        <w:tc>
          <w:tcPr>
            <w:tcW w:w="1606" w:type="pct"/>
          </w:tcPr>
          <w:p w14:paraId="68B92ACD" w14:textId="3EB7D980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22ABE34D" w14:textId="17BD414E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60E1E319" w14:textId="77777777" w:rsidTr="004A4892">
        <w:tc>
          <w:tcPr>
            <w:tcW w:w="1789" w:type="pct"/>
          </w:tcPr>
          <w:p w14:paraId="093009D3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Can be grasped within a reasonable amount of time</w:t>
            </w:r>
          </w:p>
        </w:tc>
        <w:tc>
          <w:tcPr>
            <w:tcW w:w="1606" w:type="pct"/>
          </w:tcPr>
          <w:p w14:paraId="70B115CF" w14:textId="7048BAF6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549E885B" w14:textId="00B9C58D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1C84879E" w14:textId="77777777" w:rsidTr="004A4892">
        <w:tc>
          <w:tcPr>
            <w:tcW w:w="1789" w:type="pct"/>
          </w:tcPr>
          <w:p w14:paraId="54D22054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Is used by colleagues who can share their experience or offer some support</w:t>
            </w:r>
          </w:p>
        </w:tc>
        <w:tc>
          <w:tcPr>
            <w:tcW w:w="1606" w:type="pct"/>
          </w:tcPr>
          <w:p w14:paraId="1C2F2616" w14:textId="2D508B8F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57D4DF3A" w14:textId="49D4A9C8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  <w:tr w:rsidR="004A4892" w14:paraId="781A7D91" w14:textId="77777777" w:rsidTr="004A4892">
        <w:tc>
          <w:tcPr>
            <w:tcW w:w="1789" w:type="pct"/>
          </w:tcPr>
          <w:p w14:paraId="2353802F" w14:textId="77777777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>
              <w:rPr>
                <w:sz w:val="18"/>
                <w:rFonts w:ascii="Century Gothic" w:hAnsi="Century Gothic"/>
              </w:rPr>
              <w:t xml:space="preserve">Is accompanied by templates or tutorials</w:t>
            </w:r>
          </w:p>
        </w:tc>
        <w:tc>
          <w:tcPr>
            <w:tcW w:w="1606" w:type="pct"/>
          </w:tcPr>
          <w:p w14:paraId="41A2B81E" w14:textId="6771F3F5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  <w:tc>
          <w:tcPr>
            <w:tcW w:w="1605" w:type="pct"/>
          </w:tcPr>
          <w:p w14:paraId="1A7E3DED" w14:textId="01781C96" w:rsidR="004A4892" w:rsidRPr="00983510" w:rsidRDefault="004A4892" w:rsidP="004A4892">
            <w:pPr>
              <w:spacing w:after="0" w:line="259" w:lineRule="auto"/>
              <w:rPr>
                <w:sz w:val="18"/>
                <w:szCs w:val="18"/>
                <w:rFonts w:ascii="Century Gothic" w:eastAsia="Arial" w:hAnsi="Century Gothic" w:cs="Arial"/>
              </w:rPr>
            </w:pP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begin" w:fldLock="true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instrText xml:space="preserve"> FORMTEXT </w:instrTex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separate"/>
            </w:r>
            <w:r>
              <w:rPr>
                <w:sz w:val="18"/>
                <w:rFonts w:ascii="Century Gothic" w:hAnsi="Century Gothic"/>
              </w:rPr>
              <w:t xml:space="preserve">     </w:t>
            </w:r>
            <w:r w:rsidRPr="00E21B5A">
              <w:rPr>
                <w:sz w:val="18"/>
                <w:szCs w:val="18"/>
                <w:rFonts w:ascii="Century Gothic" w:eastAsia="Arial" w:hAnsi="Century Gothic" w:cs="Arial"/>
              </w:rPr>
              <w:fldChar w:fldCharType="end"/>
            </w:r>
          </w:p>
        </w:tc>
      </w:tr>
    </w:tbl>
    <w:p w14:paraId="43AD14D0" w14:textId="77777777" w:rsidR="00983510" w:rsidRPr="004A4892" w:rsidRDefault="00983510" w:rsidP="004A4892">
      <w:pPr>
        <w:pStyle w:val="GabaritH3"/>
        <w:rPr>
          <w:rFonts w:eastAsiaTheme="majorEastAsia"/>
        </w:rPr>
      </w:pPr>
      <w:r>
        <w:t xml:space="preserve">Section:</w:t>
      </w:r>
      <w:r>
        <w:t xml:space="preserve"> </w:t>
      </w:r>
      <w:r>
        <w:t xml:space="preserve">Questions to ask yourself about the use of a DLE</w:t>
      </w:r>
    </w:p>
    <w:p w14:paraId="5980C617" w14:textId="35BD387A" w:rsidR="00983510" w:rsidRDefault="00983510" w:rsidP="004A4892">
      <w:pPr>
        <w:pStyle w:val="Gabarite9123"/>
        <w:numPr>
          <w:ilvl w:val="0"/>
          <w:numId w:val="37"/>
        </w:numPr>
      </w:pPr>
      <w:r>
        <w:t xml:space="preserve">Why do you need a DLE?</w:t>
      </w:r>
    </w:p>
    <w:p w14:paraId="372C69C0" w14:textId="6972FBD0" w:rsidR="004A4892" w:rsidRPr="004A4892" w:rsidRDefault="004A4892" w:rsidP="004A4892">
      <w:pPr>
        <w:pStyle w:val="Gabaritp29"/>
      </w:pPr>
      <w:r>
        <w:fldChar w:fldCharType="begin" w:fldLock="true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2"/>
    </w:p>
    <w:p w14:paraId="4C3D8D6F" w14:textId="77777777" w:rsidR="00983510" w:rsidRPr="004A4892" w:rsidRDefault="00983510" w:rsidP="004A4892">
      <w:pPr>
        <w:pStyle w:val="Gabarite9123"/>
        <w:spacing w:after="240"/>
      </w:pPr>
      <w:r>
        <w:t xml:space="preserve">What dimensions should be taken into account when choosing your DLE?</w:t>
      </w:r>
    </w:p>
    <w:tbl>
      <w:tblPr>
        <w:tblStyle w:val="Grilledutableau"/>
        <w:tblW w:w="4799" w:type="pct"/>
        <w:tblInd w:w="34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88"/>
        <w:gridCol w:w="4072"/>
      </w:tblGrid>
      <w:tr w:rsidR="00133E6D" w:rsidRPr="00133E6D" w14:paraId="0EE6D7E2" w14:textId="77777777" w:rsidTr="00133E6D">
        <w:tc>
          <w:tcPr>
            <w:tcW w:w="2535" w:type="pct"/>
            <w:shd w:val="clear" w:color="auto" w:fill="F0E8DE"/>
          </w:tcPr>
          <w:p w14:paraId="31C7267B" w14:textId="77777777" w:rsidR="00983510" w:rsidRPr="00133E6D" w:rsidRDefault="00983510" w:rsidP="00133E6D">
            <w:pPr>
              <w:pStyle w:val="Gabaritp9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Dimensions</w:t>
            </w:r>
          </w:p>
        </w:tc>
        <w:tc>
          <w:tcPr>
            <w:tcW w:w="2465" w:type="pct"/>
            <w:shd w:val="clear" w:color="auto" w:fill="F0E8DE"/>
          </w:tcPr>
          <w:p w14:paraId="401C0B35" w14:textId="77777777" w:rsidR="00983510" w:rsidRPr="00133E6D" w:rsidRDefault="00983510" w:rsidP="00133E6D">
            <w:pPr>
              <w:pStyle w:val="Gabaritp9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Description</w:t>
            </w:r>
          </w:p>
        </w:tc>
      </w:tr>
      <w:tr w:rsidR="00133E6D" w:rsidRPr="00133E6D" w14:paraId="7F339360" w14:textId="77777777" w:rsidTr="00133E6D">
        <w:tc>
          <w:tcPr>
            <w:tcW w:w="2535" w:type="pct"/>
          </w:tcPr>
          <w:p w14:paraId="48F4B498" w14:textId="77777777" w:rsidR="00983510" w:rsidRPr="00133E6D" w:rsidRDefault="00983510" w:rsidP="00133E6D">
            <w:pPr>
              <w:pStyle w:val="Gabaritp9"/>
              <w:spacing w:after="0"/>
            </w:pPr>
            <w:r>
              <w:t xml:space="preserve">Technical / pedagogical</w:t>
            </w:r>
          </w:p>
        </w:tc>
        <w:tc>
          <w:tcPr>
            <w:tcW w:w="2465" w:type="pct"/>
          </w:tcPr>
          <w:p w14:paraId="6EC10D99" w14:textId="1EE22DC7" w:rsidR="00983510" w:rsidRPr="00133E6D" w:rsidRDefault="00133E6D" w:rsidP="00133E6D">
            <w:pPr>
              <w:pStyle w:val="Gabaritp9"/>
              <w:spacing w:after="0"/>
            </w:pPr>
            <w:r>
              <w:fldChar w:fldCharType="begin" w:fldLock="true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e4"/>
            <w:r>
              <w:instrText xml:space="preserve">FORMTEXT </w:instrText>
            </w:r>
            <w:r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fldChar w:fldCharType="end"/>
            </w:r>
            <w:bookmarkEnd w:id="3"/>
          </w:p>
        </w:tc>
      </w:tr>
      <w:tr w:rsidR="00133E6D" w:rsidRPr="00133E6D" w14:paraId="39F540F5" w14:textId="77777777" w:rsidTr="00133E6D">
        <w:tc>
          <w:tcPr>
            <w:tcW w:w="2535" w:type="pct"/>
          </w:tcPr>
          <w:p w14:paraId="78A9C02F" w14:textId="77777777" w:rsidR="00983510" w:rsidRPr="00133E6D" w:rsidRDefault="00983510" w:rsidP="00133E6D">
            <w:pPr>
              <w:pStyle w:val="Gabaritp9"/>
              <w:spacing w:after="0"/>
            </w:pPr>
            <w:r>
              <w:t xml:space="preserve">Organisational</w:t>
            </w:r>
          </w:p>
        </w:tc>
        <w:tc>
          <w:tcPr>
            <w:tcW w:w="2465" w:type="pct"/>
          </w:tcPr>
          <w:p w14:paraId="233EC416" w14:textId="72CF79FB" w:rsidR="00983510" w:rsidRPr="00133E6D" w:rsidRDefault="00133E6D" w:rsidP="00133E6D">
            <w:pPr>
              <w:pStyle w:val="Gabaritp9"/>
              <w:spacing w:after="0"/>
            </w:pPr>
            <w:r>
              <w:fldChar w:fldCharType="begin" w:fldLock="true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fldChar w:fldCharType="end"/>
            </w:r>
            <w:bookmarkEnd w:id="4"/>
          </w:p>
        </w:tc>
      </w:tr>
      <w:tr w:rsidR="00133E6D" w:rsidRPr="00133E6D" w14:paraId="65BD6171" w14:textId="77777777" w:rsidTr="00133E6D">
        <w:tc>
          <w:tcPr>
            <w:tcW w:w="2535" w:type="pct"/>
          </w:tcPr>
          <w:p w14:paraId="10C9BCFD" w14:textId="77777777" w:rsidR="00983510" w:rsidRPr="00133E6D" w:rsidRDefault="00983510" w:rsidP="00133E6D">
            <w:pPr>
              <w:pStyle w:val="Gabaritp9"/>
              <w:spacing w:after="0"/>
            </w:pPr>
            <w:r>
              <w:t xml:space="preserve">Technical</w:t>
            </w:r>
          </w:p>
        </w:tc>
        <w:tc>
          <w:tcPr>
            <w:tcW w:w="2465" w:type="pct"/>
          </w:tcPr>
          <w:p w14:paraId="2664026A" w14:textId="2917D835" w:rsidR="00983510" w:rsidRPr="00133E6D" w:rsidRDefault="00133E6D" w:rsidP="00133E6D">
            <w:pPr>
              <w:pStyle w:val="Gabaritp9"/>
              <w:spacing w:after="0"/>
            </w:pPr>
            <w:r>
              <w:fldChar w:fldCharType="begin" w:fldLock="true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fldChar w:fldCharType="end"/>
            </w:r>
            <w:bookmarkEnd w:id="5"/>
          </w:p>
        </w:tc>
      </w:tr>
    </w:tbl>
    <w:p w14:paraId="729FC641" w14:textId="77777777" w:rsidR="00983510" w:rsidRPr="00133E6D" w:rsidRDefault="00983510" w:rsidP="00133E6D">
      <w:pPr>
        <w:pStyle w:val="GabaritH3"/>
      </w:pPr>
      <w:r>
        <w:t xml:space="preserve">Section:</w:t>
      </w:r>
      <w:r>
        <w:t xml:space="preserve"> </w:t>
      </w:r>
      <w:r>
        <w:t xml:space="preserve">Integrating new tools into your teaching</w:t>
      </w:r>
    </w:p>
    <w:p w14:paraId="7685AAC3" w14:textId="15288189" w:rsidR="00983510" w:rsidRDefault="00983510" w:rsidP="00133E6D">
      <w:pPr>
        <w:pStyle w:val="Gabarite9123"/>
        <w:numPr>
          <w:ilvl w:val="0"/>
          <w:numId w:val="38"/>
        </w:numPr>
      </w:pPr>
      <w:r>
        <w:t xml:space="preserve">What strategy could be put in place to move progressively from adoption to innovation, following the ASPID model?</w:t>
      </w:r>
    </w:p>
    <w:p w14:paraId="4DFE23C9" w14:textId="4C487DCA" w:rsidR="00845AA1" w:rsidRPr="00133E6D" w:rsidRDefault="00845AA1" w:rsidP="002326D4">
      <w:pPr>
        <w:pStyle w:val="Gabaritp29"/>
        <w:spacing w:after="240"/>
      </w:pPr>
      <w:r>
        <w:fldChar w:fldCharType="begin" w:fldLock="true">
          <w:ffData>
            <w:name w:val="Texte11"/>
            <w:enabled/>
            <w:calcOnExit w:val="0"/>
            <w:textInput/>
          </w:ffData>
        </w:fldChar>
      </w:r>
      <w:bookmarkStart w:id="6" w:name="Texte11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6"/>
    </w:p>
    <w:p w14:paraId="2609810B" w14:textId="161668EA" w:rsidR="00983510" w:rsidRDefault="00983510" w:rsidP="00133E6D">
      <w:pPr>
        <w:pStyle w:val="Gabarite9123"/>
      </w:pPr>
      <w:r>
        <w:t xml:space="preserve">How do you plan to assess the impact of using the new tools?</w:t>
      </w:r>
    </w:p>
    <w:p w14:paraId="74C394A6" w14:textId="47449011" w:rsidR="00845AA1" w:rsidRPr="00133E6D" w:rsidRDefault="00845AA1" w:rsidP="002326D4">
      <w:pPr>
        <w:pStyle w:val="Gabaritp29"/>
        <w:spacing w:after="240"/>
      </w:pPr>
      <w:r>
        <w:fldChar w:fldCharType="begin" w:fldLock="true">
          <w:ffData>
            <w:name w:val="Texte12"/>
            <w:enabled/>
            <w:calcOnExit w:val="0"/>
            <w:textInput/>
          </w:ffData>
        </w:fldChar>
      </w:r>
      <w:bookmarkStart w:id="7" w:name="Texte12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7"/>
    </w:p>
    <w:p w14:paraId="65A7B27A" w14:textId="77777777" w:rsidR="00983510" w:rsidRPr="00133E6D" w:rsidRDefault="00983510" w:rsidP="00133E6D">
      <w:pPr>
        <w:pStyle w:val="GabaritH3"/>
        <w:rPr>
          <w:rFonts w:eastAsia="Arial"/>
        </w:rPr>
      </w:pPr>
      <w:r>
        <w:t xml:space="preserve">Section:</w:t>
      </w:r>
      <w:r>
        <w:t xml:space="preserve"> </w:t>
      </w:r>
      <w:r>
        <w:t xml:space="preserve">Comparing tools used in secondary school</w:t>
      </w:r>
    </w:p>
    <w:p w14:paraId="0271A7D6" w14:textId="27FAE6A8" w:rsidR="00983510" w:rsidRPr="00845AA1" w:rsidRDefault="00983510" w:rsidP="00133E6D">
      <w:pPr>
        <w:pStyle w:val="Gabarite9123"/>
        <w:numPr>
          <w:ilvl w:val="0"/>
          <w:numId w:val="39"/>
        </w:numPr>
        <w:rPr>
          <w:rFonts w:asciiTheme="minorHAnsi" w:eastAsiaTheme="minorEastAsia" w:hAnsiTheme="minorHAnsi" w:cstheme="minorBidi"/>
        </w:rPr>
      </w:pPr>
      <w:r>
        <w:t xml:space="preserve">What tools would you like to learn more about?</w:t>
      </w:r>
      <w:r>
        <w:t xml:space="preserve"> </w:t>
      </w:r>
      <w:r>
        <w:t xml:space="preserve">If necessary, review the comparative table of the tools most commonly used in secondary schools.</w:t>
      </w:r>
    </w:p>
    <w:p w14:paraId="5F6F879B" w14:textId="279AE032" w:rsidR="00845AA1" w:rsidRPr="00133E6D" w:rsidRDefault="00845AA1" w:rsidP="00845AA1">
      <w:pPr>
        <w:pStyle w:val="Gabaritp29"/>
      </w:pPr>
      <w:r>
        <w:fldChar w:fldCharType="begin" w:fldLock="true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/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8"/>
    </w:p>
    <w:p w14:paraId="1F098CB3" w14:textId="031FAA75" w:rsidR="00983510" w:rsidRDefault="00983510" w:rsidP="004E6E49">
      <w:pPr>
        <w:pStyle w:val="Gabarite9123"/>
        <w:numPr>
          <w:ilvl w:val="1"/>
          <w:numId w:val="4"/>
        </w:numPr>
        <w:ind w:left="794" w:hanging="454"/>
      </w:pPr>
      <w:r>
        <w:t xml:space="preserve">What pedagogical needs are met by these tools?</w:t>
      </w:r>
    </w:p>
    <w:p w14:paraId="70DB0D6A" w14:textId="276D8776" w:rsidR="00845AA1" w:rsidRPr="004E6E49" w:rsidRDefault="00845AA1" w:rsidP="002326D4">
      <w:pPr>
        <w:pStyle w:val="Gabaritp39"/>
        <w:spacing w:after="240"/>
      </w:pPr>
      <w:r>
        <w:fldChar w:fldCharType="begin" w:fldLock="true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9"/>
    </w:p>
    <w:p w14:paraId="475A49DD" w14:textId="77777777" w:rsidR="00983510" w:rsidRDefault="00983510" w:rsidP="00133E6D">
      <w:pPr>
        <w:pStyle w:val="Gabarite9123"/>
        <w:rPr>
          <w:rFonts w:asciiTheme="minorHAnsi" w:eastAsiaTheme="minorEastAsia" w:hAnsiTheme="minorHAnsi" w:cstheme="minorBidi"/>
        </w:rPr>
      </w:pPr>
      <w:r>
        <w:t xml:space="preserve">What support do you need within your organisation?</w:t>
      </w:r>
      <w:r>
        <w:t xml:space="preserve"> </w:t>
      </w:r>
    </w:p>
    <w:p w14:paraId="6DD0915A" w14:textId="63D41A01" w:rsidR="00983510" w:rsidRPr="002326D4" w:rsidRDefault="00983510" w:rsidP="004E6E49">
      <w:pPr>
        <w:pStyle w:val="Gabaritp29"/>
        <w:rPr>
          <w:i/>
          <w:iCs/>
          <w:sz w:val="16"/>
          <w:szCs w:val="16"/>
        </w:rPr>
      </w:pPr>
      <w:r>
        <w:rPr>
          <w:i/>
          <w:sz w:val="16"/>
          <w:b/>
        </w:rPr>
        <w:t xml:space="preserve">Note</w:t>
      </w:r>
      <w:r>
        <w:rPr>
          <w:i/>
          <w:sz w:val="16"/>
        </w:rPr>
        <w:t xml:space="preserve"> :</w:t>
      </w:r>
      <w:r>
        <w:rPr>
          <w:i/>
          <w:sz w:val="16"/>
        </w:rPr>
        <w:t xml:space="preserve"> </w:t>
      </w:r>
      <w:r>
        <w:rPr>
          <w:i/>
          <w:sz w:val="16"/>
        </w:rPr>
        <w:t xml:space="preserve">Your need can be communicated to your management in order to obtain support or training from a educational adviser or a technology education specialist.</w:t>
      </w:r>
    </w:p>
    <w:p w14:paraId="5AF691E5" w14:textId="679737A3" w:rsidR="00845AA1" w:rsidRPr="00845AA1" w:rsidRDefault="00845AA1" w:rsidP="002326D4">
      <w:pPr>
        <w:pStyle w:val="Gabaritp29"/>
        <w:spacing w:after="240"/>
        <w:rPr>
          <w:sz w:val="16"/>
          <w:szCs w:val="16"/>
        </w:rPr>
      </w:pPr>
      <w:r>
        <w:rPr>
          <w:sz w:val="16"/>
          <w:szCs w:val="16"/>
        </w:rPr>
        <w:fldChar w:fldCharType="begin" w:fldLock="true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</w:rPr>
        <w:t xml:space="preserve">     </w:t>
      </w:r>
      <w:r>
        <w:rPr>
          <w:sz w:val="16"/>
          <w:szCs w:val="16"/>
        </w:rPr>
        <w:fldChar w:fldCharType="end"/>
      </w:r>
      <w:bookmarkEnd w:id="10"/>
    </w:p>
    <w:p w14:paraId="78DD440B" w14:textId="360B692A" w:rsidR="00983510" w:rsidRPr="00845AA1" w:rsidRDefault="00983510" w:rsidP="00845AA1">
      <w:pPr>
        <w:pStyle w:val="Gabarite9123"/>
        <w:rPr>
          <w:sz w:val="24"/>
          <w:szCs w:val="24"/>
          <w:rFonts w:asciiTheme="minorHAnsi" w:eastAsiaTheme="minorEastAsia" w:hAnsiTheme="minorHAnsi" w:cstheme="minorBidi"/>
        </w:rPr>
      </w:pPr>
      <w:r>
        <w:t xml:space="preserve">After choosing a new technological tool and experimenting with it, it's best to take a step back and assess its pedagogical relevance.</w:t>
      </w:r>
      <w:r>
        <w:t xml:space="preserve"> </w:t>
      </w:r>
      <w:r>
        <w:t xml:space="preserve">We shouldn't be discouraged at the slightest hitch when adopting a technological tool, but neither should we try to use an inadequate tool.</w:t>
      </w:r>
      <w:r>
        <w:t xml:space="preserve"> </w:t>
      </w:r>
      <w:r>
        <w:t xml:space="preserve">Here are some questions that may guide your thinking.</w:t>
      </w:r>
    </w:p>
    <w:p w14:paraId="6ECE4154" w14:textId="437EC012" w:rsidR="00845AA1" w:rsidRPr="00B635B2" w:rsidRDefault="00845AA1" w:rsidP="00845AA1">
      <w:pPr>
        <w:pStyle w:val="Gabaritp29"/>
      </w:pPr>
      <w:r>
        <w:fldChar w:fldCharType="begin" w:fldLock="true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instrText xml:space="preserve"> FORMTEXT </w:instrText>
      </w:r>
      <w:r/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11"/>
    </w:p>
    <w:p w14:paraId="19244669" w14:textId="7EC47666" w:rsidR="00983510" w:rsidRDefault="00983510" w:rsidP="004E6E49">
      <w:pPr>
        <w:pStyle w:val="Gabarite9123"/>
        <w:numPr>
          <w:ilvl w:val="1"/>
          <w:numId w:val="4"/>
        </w:numPr>
        <w:ind w:left="794" w:hanging="454"/>
      </w:pPr>
      <w:r>
        <w:t xml:space="preserve">Based on your experiences, what are your achievements in distance learning?</w:t>
      </w:r>
    </w:p>
    <w:p w14:paraId="51FF175F" w14:textId="22A6925F" w:rsidR="00580C9E" w:rsidRPr="00845AA1" w:rsidRDefault="00580C9E" w:rsidP="004E6E49">
      <w:pPr>
        <w:pStyle w:val="Gabaritp39"/>
      </w:pPr>
      <w:r>
        <w:fldChar w:fldCharType="begin" w:fldLock="true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12"/>
    </w:p>
    <w:p w14:paraId="49BE848E" w14:textId="77777777" w:rsidR="00983510" w:rsidRPr="00580C9E" w:rsidRDefault="00983510" w:rsidP="00580C9E">
      <w:pPr>
        <w:pStyle w:val="Gabarite9123"/>
        <w:numPr>
          <w:ilvl w:val="1"/>
          <w:numId w:val="4"/>
        </w:numPr>
      </w:pPr>
      <w:r>
        <w:t xml:space="preserve">Amongst the explored and tested tools, what are your favourites and disappointments?</w:t>
      </w:r>
    </w:p>
    <w:p w14:paraId="014C6E4F" w14:textId="77777777" w:rsidR="00983510" w:rsidRPr="00580C9E" w:rsidRDefault="00983510" w:rsidP="00580C9E">
      <w:pPr>
        <w:pStyle w:val="Gabarite9123"/>
        <w:numPr>
          <w:ilvl w:val="2"/>
          <w:numId w:val="4"/>
        </w:numPr>
      </w:pPr>
      <w:r>
        <w:t xml:space="preserve">My favourites</w:t>
      </w:r>
    </w:p>
    <w:tbl>
      <w:tblPr>
        <w:tblStyle w:val="Grilledutableau"/>
        <w:tblW w:w="7415" w:type="dxa"/>
        <w:tblInd w:w="1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1887"/>
        <w:gridCol w:w="1843"/>
        <w:gridCol w:w="1701"/>
        <w:gridCol w:w="1984"/>
      </w:tblGrid>
      <w:tr w:rsidR="00845AA1" w:rsidRPr="00197434" w14:paraId="6F4DC83D" w14:textId="77777777" w:rsidTr="00B75732">
        <w:trPr>
          <w:trHeight w:val="299"/>
        </w:trPr>
        <w:tc>
          <w:tcPr>
            <w:tcW w:w="1887" w:type="dxa"/>
            <w:shd w:val="clear" w:color="auto" w:fill="F0E8DE"/>
          </w:tcPr>
          <w:p w14:paraId="6C3082CC" w14:textId="262442DA" w:rsidR="00983510" w:rsidRPr="00197434" w:rsidRDefault="00983510" w:rsidP="00845AA1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Tools explored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or tested</w:t>
            </w:r>
          </w:p>
        </w:tc>
        <w:tc>
          <w:tcPr>
            <w:tcW w:w="1843" w:type="dxa"/>
            <w:shd w:val="clear" w:color="auto" w:fill="F0E8DE"/>
          </w:tcPr>
          <w:p w14:paraId="2CBDEEFF" w14:textId="56957299" w:rsidR="00983510" w:rsidRPr="00197434" w:rsidRDefault="00983510" w:rsidP="00845AA1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Favourite</w:t>
            </w:r>
          </w:p>
        </w:tc>
        <w:tc>
          <w:tcPr>
            <w:tcW w:w="1701" w:type="dxa"/>
            <w:shd w:val="clear" w:color="auto" w:fill="F0E8DE"/>
          </w:tcPr>
          <w:p w14:paraId="0D866789" w14:textId="77777777" w:rsidR="00983510" w:rsidRPr="00197434" w:rsidRDefault="00983510" w:rsidP="00845AA1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Good</w:t>
            </w:r>
          </w:p>
        </w:tc>
        <w:tc>
          <w:tcPr>
            <w:tcW w:w="1984" w:type="dxa"/>
            <w:shd w:val="clear" w:color="auto" w:fill="F0E8DE"/>
          </w:tcPr>
          <w:p w14:paraId="15295FD2" w14:textId="11A6434A" w:rsidR="00983510" w:rsidRPr="00197434" w:rsidRDefault="00983510" w:rsidP="00845AA1">
            <w:pPr>
              <w:pStyle w:val="Gabaritp9"/>
              <w:spacing w:after="0"/>
              <w:jc w:val="left"/>
              <w:rPr>
                <w:b/>
                <w:bCs/>
              </w:rPr>
            </w:pPr>
            <w:r>
              <w:rPr>
                <w:b/>
              </w:rPr>
              <w:t xml:space="preserve">Disappointment</w:t>
            </w:r>
          </w:p>
        </w:tc>
      </w:tr>
      <w:tr w:rsidR="00B75732" w:rsidRPr="00845AA1" w14:paraId="30402D0E" w14:textId="77777777" w:rsidTr="00B75732">
        <w:tc>
          <w:tcPr>
            <w:tcW w:w="1887" w:type="dxa"/>
          </w:tcPr>
          <w:p w14:paraId="1607BAE8" w14:textId="735E66D5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  <w:bookmarkEnd w:id="13"/>
          </w:p>
        </w:tc>
        <w:tc>
          <w:tcPr>
            <w:tcW w:w="1843" w:type="dxa"/>
          </w:tcPr>
          <w:p w14:paraId="419A1BBD" w14:textId="5B05B069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50270A1C" w14:textId="31C5B06C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04BBB5F5" w14:textId="17140DE0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</w:tr>
      <w:tr w:rsidR="00B75732" w:rsidRPr="00845AA1" w14:paraId="61B2E6C8" w14:textId="77777777" w:rsidTr="00B75732">
        <w:tc>
          <w:tcPr>
            <w:tcW w:w="1887" w:type="dxa"/>
          </w:tcPr>
          <w:p w14:paraId="290D3CA4" w14:textId="7AFAC861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7BDC2F26" w14:textId="7423AEE7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4909C143" w14:textId="6465C7DE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1647F5F1" w14:textId="44AA0C43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</w:tr>
      <w:tr w:rsidR="00B75732" w:rsidRPr="00845AA1" w14:paraId="008DEE93" w14:textId="77777777" w:rsidTr="00B75732">
        <w:tc>
          <w:tcPr>
            <w:tcW w:w="1887" w:type="dxa"/>
          </w:tcPr>
          <w:p w14:paraId="274C6465" w14:textId="417F0C2B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38B43316" w14:textId="78022C84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741895E6" w14:textId="784CCD59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6E3BA09F" w14:textId="73AFD408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</w:tr>
      <w:tr w:rsidR="00B75732" w:rsidRPr="00845AA1" w14:paraId="3AC5840D" w14:textId="77777777" w:rsidTr="00B75732">
        <w:tc>
          <w:tcPr>
            <w:tcW w:w="1887" w:type="dxa"/>
          </w:tcPr>
          <w:p w14:paraId="600625C9" w14:textId="5C06975D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66E48C8D" w14:textId="35717EE4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68F0DE2D" w14:textId="3950A425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7B886632" w14:textId="111AB17A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</w:tr>
      <w:tr w:rsidR="00B75732" w:rsidRPr="00845AA1" w14:paraId="3AE0ED6A" w14:textId="77777777" w:rsidTr="00B75732">
        <w:tc>
          <w:tcPr>
            <w:tcW w:w="1887" w:type="dxa"/>
          </w:tcPr>
          <w:p w14:paraId="4667B22D" w14:textId="4355C8FE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132B3ED1" w14:textId="76D54E20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7D15A2ED" w14:textId="0E7C77B3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4218577B" w14:textId="64CBAE53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</w:tr>
      <w:tr w:rsidR="00B75732" w:rsidRPr="00845AA1" w14:paraId="06737FB7" w14:textId="77777777" w:rsidTr="00B75732">
        <w:tc>
          <w:tcPr>
            <w:tcW w:w="1887" w:type="dxa"/>
          </w:tcPr>
          <w:p w14:paraId="6200CC47" w14:textId="0BBC2C60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843" w:type="dxa"/>
          </w:tcPr>
          <w:p w14:paraId="53A9B8A7" w14:textId="73C2B215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701" w:type="dxa"/>
          </w:tcPr>
          <w:p w14:paraId="311DB7FC" w14:textId="45E9A374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  <w:tc>
          <w:tcPr>
            <w:tcW w:w="1984" w:type="dxa"/>
          </w:tcPr>
          <w:p w14:paraId="5C2805CD" w14:textId="6EA9D085" w:rsidR="00B75732" w:rsidRPr="00845AA1" w:rsidRDefault="00B75732" w:rsidP="00B75732">
            <w:pPr>
              <w:pStyle w:val="Gabaritp9"/>
              <w:spacing w:after="0"/>
            </w:pPr>
            <w:r w:rsidRPr="00223B34">
              <w:fldChar w:fldCharType="begin" w:fldLock="true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23B34">
              <w:instrText xml:space="preserve"> FORMTEXT </w:instrText>
            </w:r>
            <w:r w:rsidRPr="00223B34">
              <w:fldChar w:fldCharType="separate"/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>
              <w:t xml:space="preserve"> </w:t>
            </w:r>
            <w:r w:rsidRPr="00223B34">
              <w:fldChar w:fldCharType="end"/>
            </w:r>
          </w:p>
        </w:tc>
      </w:tr>
    </w:tbl>
    <w:p w14:paraId="01AE5B40" w14:textId="5354462A" w:rsidR="00983510" w:rsidRPr="001B7613" w:rsidRDefault="00983510" w:rsidP="001B7613">
      <w:pPr>
        <w:pStyle w:val="Gabarite9123"/>
        <w:numPr>
          <w:ilvl w:val="2"/>
          <w:numId w:val="4"/>
        </w:numPr>
        <w:tabs>
          <w:tab w:val="left" w:pos="1276"/>
        </w:tabs>
        <w:spacing w:before="240"/>
      </w:pPr>
      <w:r>
        <w:t xml:space="preserve">Amongst the tools that disappointed you…</w:t>
      </w:r>
    </w:p>
    <w:p w14:paraId="339C6BDD" w14:textId="42725782" w:rsidR="00983510" w:rsidRDefault="00983510" w:rsidP="001B7613">
      <w:pPr>
        <w:pStyle w:val="Gabaritp29"/>
        <w:ind w:left="1247"/>
      </w:pPr>
      <w:r>
        <w:t xml:space="preserve">What problems occurred?</w:t>
      </w:r>
    </w:p>
    <w:p w14:paraId="3793FB88" w14:textId="49473D8C" w:rsidR="004E6E49" w:rsidRDefault="004E6E49" w:rsidP="004E6E49">
      <w:pPr>
        <w:pStyle w:val="Gabaritp39"/>
        <w:ind w:left="1247"/>
      </w:pPr>
      <w:r>
        <w:fldChar w:fldCharType="begin" w:fldLock="true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14"/>
    </w:p>
    <w:p w14:paraId="12E2CA9D" w14:textId="61C63EA4" w:rsidR="00983510" w:rsidRDefault="00983510" w:rsidP="001B7613">
      <w:pPr>
        <w:pStyle w:val="Gabaritp29"/>
        <w:ind w:left="1247"/>
      </w:pPr>
      <w:r>
        <w:t xml:space="preserve">What are the causes or reasons for these problems?</w:t>
      </w:r>
    </w:p>
    <w:p w14:paraId="0D5DF691" w14:textId="6121B66A" w:rsidR="004E6E49" w:rsidRPr="00AA20D5" w:rsidRDefault="004E6E49" w:rsidP="001B7613">
      <w:pPr>
        <w:pStyle w:val="Gabaritp29"/>
        <w:ind w:left="1247"/>
        <w:rPr>
          <w:rFonts w:asciiTheme="minorHAnsi" w:eastAsiaTheme="minorEastAsia" w:hAnsiTheme="minorHAnsi" w:cstheme="minorBidi"/>
        </w:rPr>
      </w:pPr>
      <w:r>
        <w:fldChar w:fldCharType="begin" w:fldLock="true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15"/>
    </w:p>
    <w:p w14:paraId="15441D5E" w14:textId="52BEC853" w:rsidR="00983510" w:rsidRDefault="00983510" w:rsidP="001B7613">
      <w:pPr>
        <w:pStyle w:val="Gabaritp29"/>
        <w:ind w:left="1247"/>
      </w:pPr>
      <w:r>
        <w:t xml:space="preserve">Can they be overcome? </w:t>
      </w:r>
      <w:r>
        <w:t xml:space="preserve"> </w:t>
      </w:r>
    </w:p>
    <w:p w14:paraId="7C1805C5" w14:textId="38AE614A" w:rsidR="004E6E49" w:rsidRDefault="004E6E49" w:rsidP="001B7613">
      <w:pPr>
        <w:pStyle w:val="Gabaritp29"/>
        <w:ind w:left="1247"/>
      </w:pPr>
      <w:r>
        <w:fldChar w:fldCharType="begin" w:fldLock="true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16"/>
    </w:p>
    <w:p w14:paraId="4BDAB0A7" w14:textId="268F9FFA" w:rsidR="00983510" w:rsidRDefault="00983510" w:rsidP="001B7613">
      <w:pPr>
        <w:pStyle w:val="Gabaritp29"/>
        <w:ind w:left="1247"/>
      </w:pPr>
      <w:r>
        <w:t xml:space="preserve">If so, it should be tried again after making changes.</w:t>
      </w:r>
    </w:p>
    <w:p w14:paraId="6EF8EEF1" w14:textId="0CF5DCE8" w:rsidR="004E6E49" w:rsidRPr="00AA20D5" w:rsidRDefault="004E6E49" w:rsidP="001B7613">
      <w:pPr>
        <w:pStyle w:val="Gabaritp29"/>
        <w:ind w:left="1247"/>
        <w:rPr>
          <w:rFonts w:asciiTheme="minorHAnsi" w:eastAsiaTheme="minorEastAsia" w:hAnsiTheme="minorHAnsi" w:cstheme="minorBidi"/>
        </w:rPr>
      </w:pPr>
      <w:r>
        <w:fldChar w:fldCharType="begin" w:fldLock="true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17"/>
    </w:p>
    <w:p w14:paraId="6BE64C1C" w14:textId="6CC41B98" w:rsidR="00983510" w:rsidRDefault="00983510" w:rsidP="001B7613">
      <w:pPr>
        <w:pStyle w:val="Gabaritp29"/>
        <w:ind w:left="1247"/>
      </w:pPr>
      <w:r>
        <w:t xml:space="preserve">If not, set this tool aside for now (there may be new features available later that will get around these problems).</w:t>
      </w:r>
    </w:p>
    <w:p w14:paraId="3A63888F" w14:textId="0FE7F843" w:rsidR="004E6E49" w:rsidRDefault="004E6E49" w:rsidP="001B7613">
      <w:pPr>
        <w:pStyle w:val="Gabaritp29"/>
        <w:ind w:left="1247"/>
        <w:rPr>
          <w:rFonts w:asciiTheme="minorHAnsi" w:eastAsiaTheme="minorEastAsia" w:hAnsiTheme="minorHAnsi" w:cstheme="minorBidi"/>
        </w:rPr>
      </w:pPr>
      <w:r>
        <w:fldChar w:fldCharType="begin" w:fldLock="true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bookmarkEnd w:id="18"/>
    </w:p>
    <w:sectPr w:rsidR="004E6E49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B523" w14:textId="77777777" w:rsidR="00DA7C9E" w:rsidRDefault="00DA7C9E" w:rsidP="0072615C">
      <w:pPr>
        <w:spacing w:after="0" w:line="240" w:lineRule="auto"/>
      </w:pPr>
      <w:r>
        <w:separator/>
      </w:r>
    </w:p>
  </w:endnote>
  <w:endnote w:type="continuationSeparator" w:id="0">
    <w:p w14:paraId="1987B33B" w14:textId="77777777" w:rsidR="00DA7C9E" w:rsidRDefault="00DA7C9E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b/>
            <w:sz w:val="16"/>
            <w:szCs w:val="16"/>
            <w:rFonts w:ascii="Century Gothic" w:hAnsi="Century Gothic"/>
          </w:rPr>
        </w:pP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begin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instrText xml:space="preserve"> PAGE </w:instrTex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separate"/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t>15</w:t>
        </w:r>
        <w:r w:rsidRPr="00CF340E">
          <w:rPr>
            <w:rStyle w:val="Numrodepage"/>
            <w:b/>
            <w:sz w:val="16"/>
            <w:szCs w:val="16"/>
            <w:rFonts w:ascii="Century Gothic" w:hAnsi="Century Gothic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b/>
            <w:bCs/>
            <w:sz w:val="15"/>
            <w:szCs w:val="15"/>
            <w:rFonts w:ascii="Century Gothic" w:hAnsi="Century Gothic"/>
          </w:rPr>
        </w:pP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begin"/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instrText xml:space="preserve"> PAGE </w:instrTex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separate"/>
        </w:r>
        <w:r>
          <w:rPr>
            <w:rStyle w:val="Numrodepage"/>
            <w:b/>
            <w:bCs/>
            <w:sz w:val="15"/>
            <w:szCs w:val="15"/>
            <w:rFonts w:ascii="Century Gothic" w:hAnsi="Century Gothic"/>
          </w:rPr>
          <w:t>1</w:t>
        </w:r>
        <w:r w:rsidRPr="003C3ACE">
          <w:rPr>
            <w:rStyle w:val="Numrodepage"/>
            <w:b/>
            <w:bCs/>
            <w:sz w:val="15"/>
            <w:szCs w:val="15"/>
            <w:rFonts w:ascii="Century Gothic" w:hAnsi="Century Gothic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sz w:val="14"/>
        <w:szCs w:val="14"/>
        <w:rFonts w:ascii="Century Gothic" w:hAnsi="Century Gothic"/>
      </w:rPr>
    </w:pPr>
    <w:r>
      <w:ptab w:relativeTo="margin" w:alignment="center" w:leader="none"/>
    </w:r>
    <w:r>
      <w:rPr>
        <w:sz w:val="14"/>
        <w:rFonts w:ascii="Century Gothic" w:hAnsi="Century Gothic"/>
      </w:rPr>
      <w:t xml:space="preserve">© </w:t>
    </w:r>
    <w:r>
      <w:rPr>
        <w:sz w:val="14"/>
        <w:color w:val="000000"/>
        <w:rFonts w:ascii="Century Gothic" w:hAnsi="Century Gothic"/>
      </w:rPr>
      <w:t xml:space="preserve">Université TÉLUQ, 2020</w:t>
    </w:r>
    <w:r>
      <w:rPr>
        <w:sz w:val="14"/>
        <w:color w:val="000000"/>
        <w:rFonts w:ascii="Calibri" w:hAnsi="Calibri"/>
      </w:rPr>
      <w:t xml:space="preserve"> </w:t>
    </w:r>
    <w:r>
      <w:rPr>
        <w:sz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57809" w14:textId="77777777" w:rsidR="00DA7C9E" w:rsidRDefault="00DA7C9E" w:rsidP="0072615C">
      <w:pPr>
        <w:spacing w:after="0" w:line="240" w:lineRule="auto"/>
      </w:pPr>
      <w:r>
        <w:separator/>
      </w:r>
    </w:p>
  </w:footnote>
  <w:footnote w:type="continuationSeparator" w:id="0">
    <w:p w14:paraId="7DF8FED9" w14:textId="77777777" w:rsidR="00DA7C9E" w:rsidRDefault="00DA7C9E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b/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w:t xml:space="preserve"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sz w:val="16"/>
        <w:szCs w:val="16"/>
        <w:rFonts w:ascii="Century Gothic" w:hAnsi="Century Gothic"/>
      </w:rPr>
    </w:pPr>
    <w:r>
      <w:rPr>
        <w:b/>
        <w:sz w:val="16"/>
        <w:rFonts w:ascii="Century Gothic" w:hAnsi="Century Gothi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>
      <w:rPr>
        <w:sz w:val="16"/>
        <w:rFonts w:ascii="Century Gothic" w:hAnsi="Century Gothic"/>
      </w:rPr>
      <w:t xml:space="preserve">ICT and Learning in the Workplace</w:t>
    </w:r>
  </w:p>
  <w:p w14:paraId="25A49EE6" w14:textId="77777777" w:rsidR="001B19B9" w:rsidRDefault="001B19B9" w:rsidP="00CF340E">
    <w:pPr>
      <w:pStyle w:val="En-tte"/>
      <w:jc w:val="right"/>
    </w:pPr>
    <w:r>
      <w:rPr>
        <w:sz w:val="16"/>
        <w:rFonts w:ascii="Century Gothic" w:hAnsi="Century Gothic"/>
      </w:rPr>
      <w:t xml:space="preserve">Logbook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color w:val="000000"/>
        <w:sz w:val="14"/>
        <w:szCs w:val="14"/>
        <w:rFonts w:ascii="Century Gothic" w:hAnsi="Century Gothic" w:cs="Calibri"/>
      </w:rPr>
    </w:pPr>
    <w:r>
      <w:rPr>
        <w:color w:val="000000"/>
        <w:sz w:val="14"/>
        <w:b/>
        <w:rFonts w:ascii="Century Gothic" w:hAnsi="Century Gothic"/>
      </w:rPr>
      <w:t xml:space="preserve">I teach at a distance</w:t>
    </w:r>
    <w:r>
      <w:rPr>
        <w:color w:val="000000"/>
        <w:sz w:val="14"/>
        <w:b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Secondary </w:t>
    </w:r>
    <w:r>
      <w:rPr>
        <w:color w:val="000000"/>
        <w:sz w:val="14"/>
        <w:rFonts w:ascii="Century Gothic" w:hAnsi="Century Gothic"/>
      </w:rPr>
      <w:br/>
    </w:r>
    <w:r>
      <w:rPr>
        <w:color w:val="000000"/>
        <w:sz w:val="14"/>
        <w:rFonts w:ascii="Century Gothic" w:hAnsi="Century Gothic"/>
      </w:rPr>
      <w:t xml:space="preserve">Disseminating training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10A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8EF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F6D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29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2A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83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06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0E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81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61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36B"/>
    <w:multiLevelType w:val="multilevel"/>
    <w:tmpl w:val="CEA4FFC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B6B49"/>
    <w:multiLevelType w:val="hybridMultilevel"/>
    <w:tmpl w:val="079AE5C0"/>
    <w:lvl w:ilvl="0" w:tplc="FF32B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6E7DAF"/>
    <w:multiLevelType w:val="hybridMultilevel"/>
    <w:tmpl w:val="A4A01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2CDF"/>
    <w:multiLevelType w:val="hybridMultilevel"/>
    <w:tmpl w:val="94646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A1728D"/>
    <w:multiLevelType w:val="hybridMultilevel"/>
    <w:tmpl w:val="D6AE8954"/>
    <w:lvl w:ilvl="0" w:tplc="E72AB34A">
      <w:start w:val="1"/>
      <w:numFmt w:val="decimal"/>
      <w:lvlText w:val="%1."/>
      <w:lvlJc w:val="left"/>
      <w:pPr>
        <w:ind w:left="720" w:hanging="360"/>
      </w:pPr>
    </w:lvl>
    <w:lvl w:ilvl="1" w:tplc="A9CA19BA">
      <w:start w:val="1"/>
      <w:numFmt w:val="lowerLetter"/>
      <w:lvlText w:val="%2."/>
      <w:lvlJc w:val="left"/>
      <w:pPr>
        <w:ind w:left="1440" w:hanging="360"/>
      </w:pPr>
    </w:lvl>
    <w:lvl w:ilvl="2" w:tplc="3B70B9F6">
      <w:start w:val="1"/>
      <w:numFmt w:val="lowerRoman"/>
      <w:lvlText w:val="%3."/>
      <w:lvlJc w:val="right"/>
      <w:pPr>
        <w:ind w:left="2160" w:hanging="180"/>
      </w:pPr>
    </w:lvl>
    <w:lvl w:ilvl="3" w:tplc="A1B647EC">
      <w:start w:val="1"/>
      <w:numFmt w:val="decimal"/>
      <w:lvlText w:val="%4."/>
      <w:lvlJc w:val="left"/>
      <w:pPr>
        <w:ind w:left="2880" w:hanging="360"/>
      </w:pPr>
    </w:lvl>
    <w:lvl w:ilvl="4" w:tplc="9C0ABC94">
      <w:start w:val="1"/>
      <w:numFmt w:val="lowerLetter"/>
      <w:lvlText w:val="%5."/>
      <w:lvlJc w:val="left"/>
      <w:pPr>
        <w:ind w:left="3600" w:hanging="360"/>
      </w:pPr>
    </w:lvl>
    <w:lvl w:ilvl="5" w:tplc="F2C06156">
      <w:start w:val="1"/>
      <w:numFmt w:val="lowerRoman"/>
      <w:lvlText w:val="%6."/>
      <w:lvlJc w:val="right"/>
      <w:pPr>
        <w:ind w:left="4320" w:hanging="180"/>
      </w:pPr>
    </w:lvl>
    <w:lvl w:ilvl="6" w:tplc="A9E4018A">
      <w:start w:val="1"/>
      <w:numFmt w:val="decimal"/>
      <w:lvlText w:val="%7."/>
      <w:lvlJc w:val="left"/>
      <w:pPr>
        <w:ind w:left="5040" w:hanging="360"/>
      </w:pPr>
    </w:lvl>
    <w:lvl w:ilvl="7" w:tplc="65E6B0A4">
      <w:start w:val="1"/>
      <w:numFmt w:val="lowerLetter"/>
      <w:lvlText w:val="%8."/>
      <w:lvlJc w:val="left"/>
      <w:pPr>
        <w:ind w:left="5760" w:hanging="360"/>
      </w:pPr>
    </w:lvl>
    <w:lvl w:ilvl="8" w:tplc="26CE2E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9A2569"/>
    <w:multiLevelType w:val="multilevel"/>
    <w:tmpl w:val="1AC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43FD8"/>
    <w:multiLevelType w:val="multilevel"/>
    <w:tmpl w:val="20385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26" w15:restartNumberingAfterBreak="0">
    <w:nsid w:val="515857B3"/>
    <w:multiLevelType w:val="multilevel"/>
    <w:tmpl w:val="4AD417E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Arial" w:hAnsi="Arial" w:cs="Arial" w:hint="default"/>
      </w:rPr>
    </w:lvl>
  </w:abstractNum>
  <w:abstractNum w:abstractNumId="27" w15:restartNumberingAfterBreak="0">
    <w:nsid w:val="516F4749"/>
    <w:multiLevelType w:val="multilevel"/>
    <w:tmpl w:val="399E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5D51BA"/>
    <w:multiLevelType w:val="hybridMultilevel"/>
    <w:tmpl w:val="0C0EC9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2410DE"/>
    <w:multiLevelType w:val="hybridMultilevel"/>
    <w:tmpl w:val="B074DA9A"/>
    <w:lvl w:ilvl="0" w:tplc="8C74B9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0CDA"/>
    <w:multiLevelType w:val="multilevel"/>
    <w:tmpl w:val="FFA63388"/>
    <w:lvl w:ilvl="0">
      <w:start w:val="1"/>
      <w:numFmt w:val="decimal"/>
      <w:pStyle w:val="Gabarite9123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4D44CCE"/>
    <w:multiLevelType w:val="multilevel"/>
    <w:tmpl w:val="B39CF36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1C1050"/>
    <w:multiLevelType w:val="multilevel"/>
    <w:tmpl w:val="76005BCC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19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9"/>
  </w:num>
  <w:num w:numId="18">
    <w:abstractNumId w:val="18"/>
  </w:num>
  <w:num w:numId="19">
    <w:abstractNumId w:val="33"/>
    <w:lvlOverride w:ilvl="0">
      <w:startOverride w:val="1"/>
    </w:lvlOverride>
  </w:num>
  <w:num w:numId="20">
    <w:abstractNumId w:val="12"/>
  </w:num>
  <w:num w:numId="21">
    <w:abstractNumId w:val="33"/>
    <w:lvlOverride w:ilvl="0">
      <w:startOverride w:val="1"/>
    </w:lvlOverride>
  </w:num>
  <w:num w:numId="22">
    <w:abstractNumId w:val="30"/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24"/>
  </w:num>
  <w:num w:numId="28">
    <w:abstractNumId w:val="23"/>
  </w:num>
  <w:num w:numId="29">
    <w:abstractNumId w:val="17"/>
  </w:num>
  <w:num w:numId="30">
    <w:abstractNumId w:val="31"/>
  </w:num>
  <w:num w:numId="31">
    <w:abstractNumId w:val="28"/>
  </w:num>
  <w:num w:numId="32">
    <w:abstractNumId w:val="11"/>
  </w:num>
  <w:num w:numId="33">
    <w:abstractNumId w:val="26"/>
  </w:num>
  <w:num w:numId="34">
    <w:abstractNumId w:val="15"/>
  </w:num>
  <w:num w:numId="35">
    <w:abstractNumId w:val="25"/>
  </w:num>
  <w:num w:numId="36">
    <w:abstractNumId w:val="14"/>
  </w:num>
  <w:num w:numId="37">
    <w:abstractNumId w:val="33"/>
    <w:lvlOverride w:ilvl="0">
      <w:startOverride w:val="1"/>
    </w:lvlOverride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10"/>
  </w:num>
  <w:num w:numId="41">
    <w:abstractNumId w:val="27"/>
  </w:num>
  <w:num w:numId="42">
    <w:abstractNumId w:val="22"/>
  </w:num>
  <w:num w:numId="43">
    <w:abstractNumId w:val="35"/>
  </w:num>
  <w:num w:numId="44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dirty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ghBbV6CFA7/s8E2m6SRWKUiTkt398yBpYw2HnAPPxCaHK9Nz74PFXFSFJqzJggSR3Lc/iYZPXZoTXk1MwRouA==" w:salt="KqRtWVQCL0YZhmKz7Ih0O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3E6D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434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61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6D4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892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6E49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0C9E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40F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5AA1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3E6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3510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5732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56A4D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A7C9E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en-CA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en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en-CA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en-CA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en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en-CA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en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en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en-CA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en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en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en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en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en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en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en-CA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en-CA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en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tiret"/>
    <w:qFormat/>
    <w:rsid w:val="00845AA1"/>
    <w:pPr>
      <w:keepNext/>
      <w:numPr>
        <w:numId w:val="4"/>
      </w:numPr>
    </w:pPr>
    <w:rPr>
      <w:bCs/>
      <w:szCs w:val="18"/>
    </w:rPr>
  </w:style>
  <w:style w:type="paragraph" w:customStyle="1" w:styleId="Gabaritp29">
    <w:name w:val="Gabarit_p2.9"/>
    <w:basedOn w:val="Gabaritp9"/>
    <w:qFormat/>
    <w:rsid w:val="00845AA1"/>
    <w:pPr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en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en-CA" w:eastAsia="en-US"/>
    </w:rPr>
  </w:style>
  <w:style w:type="paragraph" w:customStyle="1" w:styleId="Gabaritp39">
    <w:name w:val="Gabarit_p3.9"/>
    <w:basedOn w:val="Gabaritp29"/>
    <w:qFormat/>
    <w:rsid w:val="004E6E49"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XMJ56MR34DTR-575564481-5453</_dlc_DocId>
    <_dlc_DocIdUrl xmlns="63f9263d-4c14-4b4f-8df7-566ce5f1e0e4">
      <Url>https://intra.teluq.ca/info/cfc/equipe/projets/jad-trad/_layouts/15/DocIdRedir.aspx?ID=XMJ56MR34DTR-575564481-5453</Url>
      <Description>XMJ56MR34DTR-575564481-5453</Description>
    </_dlc_DocIdUrl>
  </documentManagement>
</p:properties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622BD-8289-4970-B25B-F9288F256A21}"/>
</file>

<file path=customXml/itemProps3.xml><?xml version="1.0" encoding="utf-8"?>
<ds:datastoreItem xmlns:ds="http://schemas.openxmlformats.org/officeDocument/2006/customXml" ds:itemID="{67F88E2C-14FA-4966-B977-77E5D486EA37}"/>
</file>

<file path=customXml/itemProps4.xml><?xml version="1.0" encoding="utf-8"?>
<ds:datastoreItem xmlns:ds="http://schemas.openxmlformats.org/officeDocument/2006/customXml" ds:itemID="{0030B392-5375-41F8-BCED-BD50FD1B82F6}"/>
</file>

<file path=customXml/itemProps5.xml><?xml version="1.0" encoding="utf-8"?>
<ds:datastoreItem xmlns:ds="http://schemas.openxmlformats.org/officeDocument/2006/customXml" ds:itemID="{DE62C0EA-8298-40F5-ABA0-6460118D6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5580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30</cp:revision>
  <cp:lastPrinted>2017-10-19T17:11:00Z</cp:lastPrinted>
  <dcterms:created xsi:type="dcterms:W3CDTF">2020-05-02T02:58:00Z</dcterms:created>
  <dcterms:modified xsi:type="dcterms:W3CDTF">2020-06-22T14:19:00Z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12a5cda6-284d-47f1-8326-c5e8f3f5e790</vt:lpwstr>
  </property>
</Properties>
</file>