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w:t xml:space="preserve">Logbook</w:t>
      </w:r>
    </w:p>
    <w:p w14:paraId="32B7AA97" w14:textId="6026DD99" w:rsidR="001B19B9" w:rsidRDefault="00A2722A" w:rsidP="00A2722A">
      <w:pPr>
        <w:spacing w:before="180" w:after="276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27913049">
                <wp:simplePos x="0" y="0"/>
                <wp:positionH relativeFrom="column">
                  <wp:posOffset>2197219</wp:posOffset>
                </wp:positionH>
                <wp:positionV relativeFrom="paragraph">
                  <wp:posOffset>2034156</wp:posOffset>
                </wp:positionV>
                <wp:extent cx="3433012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012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DISSEMINATING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6D23DB8" w14:textId="5536A90C" w:rsidR="00F62A9F" w:rsidRPr="004F01F9" w:rsidRDefault="00C849DC">
                            <w:pPr>
                              <w:rPr>
                                <w:color w:val="FFFFFF" w:themeColor="background1"/>
                                <w:spacing w:val="-4"/>
                                <w:sz w:val="32"/>
                                <w:szCs w:val="32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Module 2: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Offering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content for a distance course: methods and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3pt;margin-top:160.15pt;width:270.3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DISSEMINATING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66D23DB8" w14:textId="5536A90C" w:rsidR="00F62A9F" w:rsidRPr="004F01F9" w:rsidRDefault="00C849DC">
                      <w:pPr>
                        <w:rPr>
                          <w:color w:val="FFFFFF" w:themeColor="background1"/>
                          <w:spacing w:val="-4"/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Module 2: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Offering 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br/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content for a distance course: methods and tools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62626" w:themeColor="text1" w:themeTint="D9"/>
          <w:sz w:val="20"/>
          <w:rFonts w:ascii="Century Gothic" w:hAnsi="Century Gothic"/>
        </w:rPr>
        <w:t xml:space="preserve">SECONDARY</w:t>
      </w:r>
    </w:p>
    <w:p w14:paraId="1E8F7FC8" w14:textId="6D8B9A43" w:rsidR="001B19B9" w:rsidRPr="00F27301" w:rsidRDefault="00A2722A" w:rsidP="00A2722A">
      <w:pPr>
        <w:spacing w:before="600" w:after="480"/>
        <w:ind w:right="276"/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  <w:rPr>
          <w:sz w:val="48"/>
          <w:szCs w:val="48"/>
          <w:rFonts w:ascii="Century Gothic" w:hAnsi="Century Gothic"/>
        </w:rPr>
      </w:pPr>
      <w:r>
        <w:rPr>
          <w:sz w:val="48"/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>
        <w:t xml:space="preserve">Logbook</w:t>
      </w:r>
    </w:p>
    <w:p w14:paraId="5292EF1E" w14:textId="5CB93B40" w:rsidR="000B7E97" w:rsidRPr="00DF2C93" w:rsidRDefault="00E828F7" w:rsidP="000B7E97">
      <w:pPr>
        <w:pStyle w:val="Gabaritsous-titr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>
        <w:t xml:space="preserve">Module 2</w:t>
      </w:r>
      <w:r>
        <w:br/>
      </w:r>
      <w:r>
        <w:t xml:space="preserve">Offering content for a distance course: methods and tools</w:t>
      </w:r>
    </w:p>
    <w:p w14:paraId="01030489" w14:textId="12EACF69" w:rsidR="004F01F9" w:rsidRPr="004F01F9" w:rsidRDefault="004F01F9" w:rsidP="004F01F9">
      <w:pPr>
        <w:pStyle w:val="GabaritH2"/>
      </w:pPr>
      <w:r>
        <w:t xml:space="preserve">Objectives of the module</w:t>
      </w:r>
      <w:r>
        <w:t xml:space="preserve"> </w:t>
      </w:r>
    </w:p>
    <w:p w14:paraId="6E595567" w14:textId="77777777" w:rsidR="000B7E97" w:rsidRPr="000B7E97" w:rsidRDefault="000B7E97" w:rsidP="000B7E97">
      <w:pPr>
        <w:pStyle w:val="Gabaritlitiret"/>
      </w:pPr>
      <w:r>
        <w:t xml:space="preserve">Understand the cognitive theory of multimedia learning.</w:t>
      </w:r>
      <w:r>
        <w:t xml:space="preserve"> </w:t>
      </w:r>
    </w:p>
    <w:p w14:paraId="742E4C92" w14:textId="77777777" w:rsidR="000B7E97" w:rsidRPr="000B7E97" w:rsidRDefault="000B7E97" w:rsidP="000B7E97">
      <w:pPr>
        <w:pStyle w:val="Gabaritlitiret"/>
      </w:pPr>
      <w:r>
        <w:t xml:space="preserve">Distribute text and images.</w:t>
      </w:r>
      <w:r>
        <w:t xml:space="preserve"> </w:t>
      </w:r>
    </w:p>
    <w:p w14:paraId="2F3C7C7E" w14:textId="77777777" w:rsidR="000B7E97" w:rsidRPr="000B7E97" w:rsidRDefault="000B7E97" w:rsidP="000B7E97">
      <w:pPr>
        <w:pStyle w:val="Gabaritlitiret"/>
      </w:pPr>
      <w:r>
        <w:t xml:space="preserve">Distribute audio and video content.</w:t>
      </w:r>
      <w:r>
        <w:t xml:space="preserve"> </w:t>
      </w:r>
    </w:p>
    <w:p w14:paraId="3E80C690" w14:textId="77777777" w:rsidR="000B7E97" w:rsidRPr="000B7E97" w:rsidRDefault="000B7E97" w:rsidP="000B7E97">
      <w:pPr>
        <w:pStyle w:val="Gabaritlitiret"/>
      </w:pPr>
      <w:r>
        <w:t xml:space="preserve">Distribute multimedia content by understanding and adapting to delivery in a digital learning environment (DLE).</w:t>
      </w:r>
    </w:p>
    <w:p w14:paraId="0B8EECBA" w14:textId="013298DA" w:rsidR="000B7E97" w:rsidRDefault="000B7E97" w:rsidP="000B7E97">
      <w:pPr>
        <w:pStyle w:val="GabaritH3"/>
        <w:rPr>
          <w:rFonts w:eastAsiaTheme="majorEastAsia"/>
        </w:rPr>
      </w:pPr>
      <w:r>
        <w:t xml:space="preserve">Section:</w:t>
      </w:r>
      <w:r>
        <w:t xml:space="preserve"> </w:t>
      </w:r>
      <w:r>
        <w:t xml:space="preserve">Understanding the cognitive theory of multimedia learning</w:t>
      </w:r>
    </w:p>
    <w:p w14:paraId="3DF3E434" w14:textId="77777777" w:rsidR="000B7E97" w:rsidRPr="000B7E97" w:rsidRDefault="000B7E97" w:rsidP="000B7E97">
      <w:pPr>
        <w:pStyle w:val="Gabarite9123"/>
        <w:spacing w:after="240"/>
      </w:pPr>
      <w:r>
        <w:t xml:space="preserve">What have you learned from multimedia learning theory?</w:t>
      </w:r>
      <w:r>
        <w:t xml:space="preserve"> </w:t>
      </w:r>
      <w:r>
        <w:t xml:space="preserve">What principles do you absolutely not want to forget?</w:t>
      </w:r>
    </w:p>
    <w:tbl>
      <w:tblPr>
        <w:tblStyle w:val="Grilledutableau"/>
        <w:tblW w:w="0" w:type="auto"/>
        <w:tblInd w:w="38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"/>
        <w:gridCol w:w="7614"/>
      </w:tblGrid>
      <w:tr w:rsidR="000B7E97" w:rsidRPr="000B7E97" w14:paraId="1579C05D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08665C6" w14:textId="1517D9B5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rFonts w:ascii="Century Gothic" w:hAnsi="Century Gothic"/>
              </w:rPr>
            </w:pPr>
            <w:r w:rsidRPr="000B7E97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97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0B7E97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0B7E97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4EFB3053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shd w:val="clear" w:color="auto" w:fill="FFFFFF"/>
                <w:rFonts w:ascii="Century Gothic" w:hAnsi="Century Gothic"/>
              </w:rPr>
              <w:t xml:space="preserve">Delete all non-essential information.</w:t>
            </w:r>
          </w:p>
        </w:tc>
      </w:tr>
      <w:tr w:rsidR="000B7E97" w:rsidRPr="000B7E97" w14:paraId="278CEEF3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7AD56BF3" w14:textId="760C973D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689B4402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bdr w:val="none" w:sz="0" w:space="0" w:color="auto" w:frame="1"/>
                <w:rFonts w:ascii="Century Gothic" w:hAnsi="Century Gothic"/>
              </w:rPr>
              <w:t xml:space="preserve">Highlight.</w:t>
            </w:r>
          </w:p>
        </w:tc>
      </w:tr>
      <w:tr w:rsidR="000B7E97" w:rsidRPr="000B7E97" w14:paraId="1946FF96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64B79B2B" w14:textId="5D014561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72C8B7FB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bdr w:val="none" w:sz="0" w:space="0" w:color="auto" w:frame="1"/>
                <w:rFonts w:ascii="Century Gothic" w:hAnsi="Century Gothic"/>
              </w:rPr>
              <w:t xml:space="preserve">Avoid redundancy.</w:t>
            </w:r>
          </w:p>
        </w:tc>
      </w:tr>
      <w:tr w:rsidR="000B7E97" w:rsidRPr="000B7E97" w14:paraId="598B5A6B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3C7EA71" w14:textId="7842B6CD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3779DFCC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bdr w:val="none" w:sz="0" w:space="0" w:color="auto" w:frame="1"/>
                <w:rFonts w:ascii="Century Gothic" w:hAnsi="Century Gothic"/>
              </w:rPr>
              <w:t xml:space="preserve">Bring the images closer to the text.</w:t>
            </w:r>
          </w:p>
        </w:tc>
      </w:tr>
      <w:tr w:rsidR="000B7E97" w:rsidRPr="000B7E97" w14:paraId="532F66CA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2189562" w14:textId="6DDB1F62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1427BAA1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shd w:val="clear" w:color="auto" w:fill="FFFFFF"/>
                <w:rFonts w:ascii="Century Gothic" w:hAnsi="Century Gothic"/>
              </w:rPr>
              <w:t xml:space="preserve">Show animations simultaneously with the narratives and not afterwards.</w:t>
            </w:r>
          </w:p>
        </w:tc>
      </w:tr>
      <w:tr w:rsidR="000B7E97" w:rsidRPr="000B7E97" w14:paraId="409FA3A8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5C8724FA" w14:textId="35E0D4A7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47A2839B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bdr w:val="none" w:sz="0" w:space="0" w:color="auto" w:frame="1"/>
                <w:rFonts w:ascii="Century Gothic" w:hAnsi="Century Gothic"/>
              </w:rPr>
              <w:t xml:space="preserve">Fragment the content.</w:t>
            </w:r>
          </w:p>
        </w:tc>
      </w:tr>
      <w:tr w:rsidR="000B7E97" w:rsidRPr="000B7E97" w14:paraId="6583EF10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47562F69" w14:textId="0CD9C4A7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50659EA5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shd w:val="clear" w:color="auto" w:fill="FFFFFF"/>
                <w:rFonts w:ascii="Century Gothic" w:hAnsi="Century Gothic"/>
              </w:rPr>
              <w:t xml:space="preserve">Prepare students for classes by sending them pre-course activities.</w:t>
            </w:r>
          </w:p>
        </w:tc>
      </w:tr>
      <w:tr w:rsidR="000B7E97" w:rsidRPr="000B7E97" w14:paraId="551C8F83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117731D3" w14:textId="2AAA2C43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24BF2C8B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bCs/>
                <w:color w:val="000000" w:themeColor="text1"/>
                <w:sz w:val="18"/>
                <w:szCs w:val="18"/>
                <w:bdr w:val="none" w:sz="0" w:space="0" w:color="auto" w:frame="1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bdr w:val="none" w:sz="0" w:space="0" w:color="auto" w:frame="1"/>
                <w:rFonts w:ascii="Century Gothic" w:hAnsi="Century Gothic"/>
              </w:rPr>
              <w:t xml:space="preserve">Avoid overloading the visual channel.</w:t>
            </w:r>
          </w:p>
        </w:tc>
      </w:tr>
      <w:tr w:rsidR="000B7E97" w:rsidRPr="000B7E97" w14:paraId="34F996B1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43BA6536" w14:textId="4A476512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60C9B38A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Style w:val="normaltextrun"/>
                <w:bCs/>
                <w:color w:val="000000" w:themeColor="text1"/>
                <w:sz w:val="18"/>
                <w:szCs w:val="18"/>
                <w:bdr w:val="none" w:sz="0" w:space="0" w:color="auto" w:frame="1"/>
                <w:rFonts w:ascii="Century Gothic" w:hAnsi="Century Gothic"/>
              </w:rPr>
            </w:pPr>
            <w:r>
              <w:rPr>
                <w:rStyle w:val="normaltextrun"/>
                <w:color w:val="000000" w:themeColor="text1"/>
                <w:sz w:val="18"/>
                <w:shd w:val="clear" w:color="auto" w:fill="FFFFFF"/>
                <w:rFonts w:ascii="Century Gothic" w:hAnsi="Century Gothic"/>
              </w:rPr>
              <w:t xml:space="preserve">Use a word-image combination to facilitate information processing.</w:t>
            </w:r>
          </w:p>
        </w:tc>
      </w:tr>
      <w:tr w:rsidR="000B7E97" w:rsidRPr="000B7E97" w14:paraId="2DAED35A" w14:textId="77777777" w:rsidTr="00F23A63">
        <w:trPr>
          <w:trHeight w:val="454"/>
        </w:trPr>
        <w:tc>
          <w:tcPr>
            <w:tcW w:w="601" w:type="dxa"/>
            <w:vAlign w:val="center"/>
          </w:tcPr>
          <w:p w14:paraId="6616CACE" w14:textId="1FD2734D" w:rsidR="000B7E97" w:rsidRPr="000B7E97" w:rsidRDefault="000B7E97" w:rsidP="000B7E97">
            <w:pPr>
              <w:pStyle w:val="Cartable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rFonts w:ascii="Century Gothic" w:hAnsi="Century Gothic"/>
              </w:rPr>
            </w:pP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instrText xml:space="preserve"> FORMCHECKBOX </w:instrText>
            </w:r>
            <w:r w:rsidR="00C47B44"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</w:r>
            <w:r w:rsidRPr="00A60FBD">
              <w:rPr>
                <w:color w:val="000000" w:themeColor="text1"/>
                <w:sz w:val="16"/>
                <w:szCs w:val="16"/>
                <w:rFonts w:ascii="Century Gothic" w:hAnsi="Century Gothic"/>
              </w:rPr>
              <w:fldChar w:fldCharType="end"/>
            </w:r>
          </w:p>
        </w:tc>
        <w:tc>
          <w:tcPr>
            <w:tcW w:w="7614" w:type="dxa"/>
            <w:vAlign w:val="center"/>
          </w:tcPr>
          <w:p w14:paraId="136F3E1E" w14:textId="77777777" w:rsidR="000B7E97" w:rsidRPr="000B7E97" w:rsidRDefault="000B7E97" w:rsidP="000B7E97">
            <w:pPr>
              <w:pStyle w:val="Cartable"/>
              <w:spacing w:after="0" w:line="240" w:lineRule="auto"/>
              <w:jc w:val="left"/>
              <w:rPr>
                <w:rStyle w:val="normaltextrun"/>
                <w:color w:val="000000" w:themeColor="text1"/>
                <w:sz w:val="18"/>
                <w:szCs w:val="18"/>
                <w:shd w:val="clear" w:color="auto" w:fill="FFFFFF"/>
                <w:rFonts w:ascii="Century Gothic" w:hAnsi="Century Gothic"/>
              </w:rPr>
            </w:pPr>
            <w:r>
              <w:rPr>
                <w:color w:val="000000" w:themeColor="text1"/>
                <w:sz w:val="18"/>
                <w:shd w:val="clear" w:color="auto" w:fill="FFFFFF"/>
                <w:rStyle w:val="normaltextrun"/>
                <w:rFonts w:ascii="Century Gothic" w:hAnsi="Century Gothic"/>
              </w:rPr>
              <w:t xml:space="preserve">Use the pronoun </w:t>
            </w:r>
            <w:r>
              <w:rPr>
                <w:color w:val="000000" w:themeColor="text1"/>
                <w:sz w:val="18"/>
                <w:shd w:val="clear" w:color="auto" w:fill="FFFFFF"/>
                <w:rStyle w:val="contextualspellingandgrammarerror"/>
                <w:rFonts w:ascii="Century Gothic" w:hAnsi="Century Gothic"/>
              </w:rPr>
              <w:t xml:space="preserve">"you"</w:t>
            </w:r>
            <w:r>
              <w:rPr>
                <w:color w:val="000000" w:themeColor="text1"/>
                <w:sz w:val="18"/>
                <w:shd w:val="clear" w:color="auto" w:fill="FFFFFF"/>
                <w:rStyle w:val="normaltextrun"/>
                <w:rFonts w:ascii="Century Gothic" w:hAnsi="Century Gothic"/>
              </w:rPr>
              <w:t xml:space="preserve">.</w:t>
            </w:r>
          </w:p>
        </w:tc>
      </w:tr>
    </w:tbl>
    <w:p w14:paraId="34C718E3" w14:textId="77777777" w:rsidR="000B7E97" w:rsidRPr="00DD7CAF" w:rsidRDefault="000B7E97" w:rsidP="000B7E97">
      <w:pPr>
        <w:pStyle w:val="GabaritH3"/>
      </w:pPr>
      <w:r>
        <w:t xml:space="preserve">Section:</w:t>
      </w:r>
      <w:r>
        <w:t xml:space="preserve"> </w:t>
      </w:r>
      <w:r>
        <w:t xml:space="preserve">Distributing text and images</w:t>
      </w:r>
    </w:p>
    <w:p w14:paraId="55129E78" w14:textId="7084A666" w:rsidR="000B7E97" w:rsidRDefault="000B7E97" w:rsidP="000B7E97">
      <w:pPr>
        <w:pStyle w:val="Gabarite9123"/>
        <w:numPr>
          <w:ilvl w:val="0"/>
          <w:numId w:val="34"/>
        </w:numPr>
        <w:ind w:left="340" w:hanging="340"/>
      </w:pPr>
      <w:r>
        <w:t xml:space="preserve">What advice will you use to make your writing more readable?</w:t>
      </w:r>
    </w:p>
    <w:p w14:paraId="2BF09190" w14:textId="3C878D35" w:rsidR="000B7E97" w:rsidRPr="000B7E97" w:rsidRDefault="000B7E97" w:rsidP="000B7E97">
      <w:pPr>
        <w:pStyle w:val="Gabaritp29"/>
      </w:pPr>
      <w:r>
        <w:fldChar w:fldCharType="begin" w:fldLock="true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0"/>
    </w:p>
    <w:p w14:paraId="465651E9" w14:textId="4F29702D" w:rsidR="000B7E97" w:rsidRDefault="000B7E97" w:rsidP="000B7E97">
      <w:pPr>
        <w:pStyle w:val="Gabarite9123"/>
      </w:pPr>
      <w:r>
        <w:t xml:space="preserve">What tools would you like to explore further to ensure that your visual is captivating?</w:t>
      </w:r>
    </w:p>
    <w:p w14:paraId="03C14BA3" w14:textId="21F279CB" w:rsidR="000B7E97" w:rsidRPr="00DD7CAF" w:rsidRDefault="000B7E97" w:rsidP="000B7E97">
      <w:pPr>
        <w:pStyle w:val="Gabaritp29"/>
      </w:pPr>
      <w:r>
        <w:fldChar w:fldCharType="begin" w:fldLock="true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"/>
    </w:p>
    <w:p w14:paraId="76BF4139" w14:textId="77777777" w:rsidR="000B7E97" w:rsidRPr="000B7E97" w:rsidRDefault="000B7E97" w:rsidP="000B7E97">
      <w:pPr>
        <w:pStyle w:val="GabaritH3"/>
      </w:pPr>
      <w:r>
        <w:t xml:space="preserve">Section:</w:t>
      </w:r>
      <w:r>
        <w:t xml:space="preserve"> </w:t>
      </w:r>
      <w:r>
        <w:t xml:space="preserve">Distributing audio and video content</w:t>
      </w:r>
    </w:p>
    <w:p w14:paraId="223619AD" w14:textId="28E2F577" w:rsidR="000B7E97" w:rsidRDefault="000B7E97" w:rsidP="000B7E97">
      <w:pPr>
        <w:pStyle w:val="Gabarite9123"/>
        <w:numPr>
          <w:ilvl w:val="0"/>
          <w:numId w:val="35"/>
        </w:numPr>
        <w:ind w:left="340" w:hanging="340"/>
      </w:pPr>
      <w:r>
        <w:t xml:space="preserve">Before making your first video, what advice should you keep in mind?</w:t>
      </w:r>
    </w:p>
    <w:p w14:paraId="25EF91BA" w14:textId="56896676" w:rsidR="000B7E97" w:rsidRPr="000B7E97" w:rsidRDefault="000B7E97" w:rsidP="000B7E97">
      <w:pPr>
        <w:pStyle w:val="Gabaritp29"/>
      </w:pPr>
      <w:r>
        <w:fldChar w:fldCharType="begin" w:fldLock="true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2"/>
    </w:p>
    <w:p w14:paraId="1083BFF7" w14:textId="5FA2239F" w:rsidR="000B7E97" w:rsidRPr="000B7E97" w:rsidRDefault="000B7E97" w:rsidP="000B7E97">
      <w:pPr>
        <w:pStyle w:val="Gabarite9123"/>
        <w:rPr>
          <w:rStyle w:val="normaltextrun"/>
          <w:spacing w:val="-2"/>
        </w:rPr>
      </w:pPr>
      <w:r>
        <w:t xml:space="preserve">What </w:t>
      </w:r>
      <w:r>
        <w:rPr>
          <w:rStyle w:val="normaltextrun"/>
        </w:rPr>
        <w:t xml:space="preserve">audio recording, editing and broadcasting tools would you like to know more about?</w:t>
      </w:r>
    </w:p>
    <w:p w14:paraId="6A3D80EC" w14:textId="7371D575" w:rsidR="000B7E97" w:rsidRPr="000B7E97" w:rsidRDefault="000B7E97" w:rsidP="000B7E97">
      <w:pPr>
        <w:pStyle w:val="Gabaritp29"/>
        <w:rPr>
          <w:rStyle w:val="normaltextrun"/>
        </w:rPr>
      </w:pPr>
      <w:r>
        <w:rPr>
          <w:rStyle w:val="normaltextrun"/>
        </w:rPr>
        <w:fldChar w:fldCharType="begin" w:fldLock="true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Style w:val="normaltextrun"/>
        </w:rPr>
        <w:instrText xml:space="preserve"> FORMTEXT </w:instrText>
      </w:r>
      <w:r>
        <w:rPr>
          <w:rStyle w:val="normaltextrun"/>
        </w:rPr>
      </w:r>
      <w:r>
        <w:rPr>
          <w:rStyle w:val="normaltextrun"/>
        </w:rPr>
        <w:fldChar w:fldCharType="separate"/>
      </w:r>
      <w:r>
        <w:rPr>
          <w:rStyle w:val="normaltextrun"/>
        </w:rPr>
        <w:t xml:space="preserve">     </w:t>
      </w:r>
      <w:r>
        <w:rPr>
          <w:rStyle w:val="normaltextrun"/>
        </w:rPr>
        <w:fldChar w:fldCharType="end"/>
      </w:r>
      <w:bookmarkEnd w:id="3"/>
    </w:p>
    <w:p w14:paraId="29683076" w14:textId="77777777" w:rsidR="000B7E97" w:rsidRPr="000B7E97" w:rsidRDefault="000B7E97" w:rsidP="000B7E97">
      <w:pPr>
        <w:pStyle w:val="GabaritH3"/>
      </w:pPr>
      <w:r>
        <w:t xml:space="preserve">Section:</w:t>
      </w:r>
      <w:r>
        <w:t xml:space="preserve"> </w:t>
      </w:r>
      <w:r>
        <w:t xml:space="preserve">Distributing multimedia content</w:t>
      </w:r>
    </w:p>
    <w:p w14:paraId="1D17EE85" w14:textId="79DF33FC" w:rsidR="000B7E97" w:rsidRDefault="000B7E97" w:rsidP="000B7E97">
      <w:pPr>
        <w:pStyle w:val="Gabarite9123"/>
        <w:numPr>
          <w:ilvl w:val="0"/>
          <w:numId w:val="36"/>
        </w:numPr>
        <w:ind w:left="340" w:hanging="340"/>
      </w:pPr>
      <w:r>
        <w:t xml:space="preserve">What do you think are the benefits of a DLE?</w:t>
      </w:r>
    </w:p>
    <w:p w14:paraId="02DA31E1" w14:textId="3381E8DE" w:rsidR="000B7E97" w:rsidRDefault="000B7E97" w:rsidP="000B7E97">
      <w:pPr>
        <w:pStyle w:val="Gabaritp29"/>
      </w:pPr>
      <w:r>
        <w:fldChar w:fldCharType="begin" w:fldLock="true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4"/>
    </w:p>
    <w:p w14:paraId="3A261B04" w14:textId="3B616627" w:rsidR="000B7E97" w:rsidRDefault="000B7E97" w:rsidP="000B7E97">
      <w:pPr>
        <w:pStyle w:val="Gabarite9123"/>
      </w:pPr>
      <w:r>
        <w:t xml:space="preserve">What do you see as the drawbacks?</w:t>
      </w:r>
    </w:p>
    <w:p w14:paraId="2298AB1B" w14:textId="715FD229" w:rsidR="000B7E97" w:rsidRDefault="000B7E97" w:rsidP="000B7E97">
      <w:pPr>
        <w:pStyle w:val="Gabaritp29"/>
      </w:pPr>
      <w:r>
        <w:fldChar w:fldCharType="begin" w:fldLock="true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5"/>
    </w:p>
    <w:p w14:paraId="62E732DB" w14:textId="0390C418" w:rsidR="000B7E97" w:rsidRDefault="000B7E97" w:rsidP="000B7E97">
      <w:pPr>
        <w:pStyle w:val="Gabarite9123"/>
      </w:pPr>
      <w:r>
        <w:t xml:space="preserve">Do you intend to use a DLE?</w:t>
      </w:r>
      <w:r>
        <w:t xml:space="preserve"> </w:t>
      </w:r>
      <w:r>
        <w:t xml:space="preserve">Why?</w:t>
      </w:r>
    </w:p>
    <w:p w14:paraId="63BF6D03" w14:textId="5D67170E" w:rsidR="000B7E97" w:rsidRDefault="000B7E97" w:rsidP="000B7E97">
      <w:pPr>
        <w:pStyle w:val="Gabaritp29"/>
      </w:pPr>
      <w:r>
        <w:fldChar w:fldCharType="begin" w:fldLock="true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6"/>
    </w:p>
    <w:p w14:paraId="5A96E38F" w14:textId="0020C7A1" w:rsidR="000B7E97" w:rsidRDefault="000B7E97" w:rsidP="000B7E97">
      <w:pPr>
        <w:pStyle w:val="Gabarite9123"/>
      </w:pPr>
      <w:r>
        <w:t xml:space="preserve">If you plan to use a DLE, how do you plan to familiarize yourself with it?</w:t>
      </w:r>
    </w:p>
    <w:p w14:paraId="04972364" w14:textId="0DD87CBA" w:rsidR="000B7E97" w:rsidRDefault="000B7E97" w:rsidP="000B7E97">
      <w:pPr>
        <w:pStyle w:val="Gabaritp29"/>
      </w:pPr>
      <w:r>
        <w:fldChar w:fldCharType="begin" w:fldLock="true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7"/>
    </w:p>
    <w:p w14:paraId="69A4C348" w14:textId="1E2305AD" w:rsidR="000B7E97" w:rsidRDefault="000B7E97" w:rsidP="000B7E97">
      <w:pPr>
        <w:pStyle w:val="Gabarite9123"/>
      </w:pPr>
      <w:r>
        <w:t xml:space="preserve">Do you have access to resources for this purpose?</w:t>
      </w:r>
      <w:r>
        <w:t xml:space="preserve"> </w:t>
      </w:r>
      <w:r>
        <w:t xml:space="preserve">Which ones?</w:t>
      </w:r>
    </w:p>
    <w:p w14:paraId="409D6E8D" w14:textId="5D37EB29" w:rsidR="000B7E97" w:rsidRPr="00DD7CAF" w:rsidRDefault="000B7E97" w:rsidP="000B7E97">
      <w:pPr>
        <w:pStyle w:val="Gabaritp29"/>
      </w:pPr>
      <w:r>
        <w:fldChar w:fldCharType="begin" w:fldLock="true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8"/>
    </w:p>
    <w:sectPr w:rsidR="000B7E97" w:rsidRPr="00DD7CAF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223F" w14:textId="77777777" w:rsidR="002C44DD" w:rsidRDefault="002C44DD" w:rsidP="0072615C">
      <w:pPr>
        <w:spacing w:after="0" w:line="240" w:lineRule="auto"/>
      </w:pPr>
      <w:r>
        <w:separator/>
      </w:r>
    </w:p>
  </w:endnote>
  <w:endnote w:type="continuationSeparator" w:id="0">
    <w:p w14:paraId="0BE72C5C" w14:textId="77777777" w:rsidR="002C44DD" w:rsidRDefault="002C44D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b/>
            <w:sz w:val="16"/>
            <w:szCs w:val="16"/>
            <w:rFonts w:ascii="Century Gothic" w:hAnsi="Century Gothic"/>
          </w:rPr>
        </w:pP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begin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instrText xml:space="preserve"> PAGE </w:instrTex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separate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t>15</w: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243B" w14:textId="77777777" w:rsidR="002C44DD" w:rsidRDefault="002C44DD" w:rsidP="0072615C">
      <w:pPr>
        <w:spacing w:after="0" w:line="240" w:lineRule="auto"/>
      </w:pPr>
      <w:r>
        <w:separator/>
      </w:r>
    </w:p>
  </w:footnote>
  <w:footnote w:type="continuationSeparator" w:id="0">
    <w:p w14:paraId="0316CB4D" w14:textId="77777777" w:rsidR="002C44DD" w:rsidRDefault="002C44D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b/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w:t xml:space="preserve"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>
      <w:rPr>
        <w:sz w:val="16"/>
        <w:rFonts w:ascii="Century Gothic" w:hAnsi="Century Gothic"/>
      </w:rPr>
      <w:t xml:space="preserve">ICT and Learning in the Workplace</w:t>
    </w:r>
  </w:p>
  <w:p w14:paraId="25A49EE6" w14:textId="77777777" w:rsidR="001B19B9" w:rsidRDefault="001B19B9" w:rsidP="00CF340E">
    <w:pPr>
      <w:pStyle w:val="En-tte"/>
      <w:jc w:val="right"/>
    </w:pPr>
    <w:r>
      <w:rPr>
        <w:sz w:val="16"/>
        <w:rFonts w:ascii="Century Gothic" w:hAnsi="Century Gothic"/>
      </w:rPr>
      <w:t xml:space="preserve">Logbook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1CC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3E5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80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465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5A2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B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1EC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45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DAF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22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0CE7"/>
    <w:multiLevelType w:val="hybridMultilevel"/>
    <w:tmpl w:val="3460AB38"/>
    <w:lvl w:ilvl="0" w:tplc="881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C3903"/>
    <w:multiLevelType w:val="hybridMultilevel"/>
    <w:tmpl w:val="AF8E8C60"/>
    <w:lvl w:ilvl="0" w:tplc="B03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86495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288D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3223B2"/>
    <w:multiLevelType w:val="hybridMultilevel"/>
    <w:tmpl w:val="CBD89158"/>
    <w:lvl w:ilvl="0" w:tplc="713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7"/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2"/>
  </w:num>
  <w:num w:numId="18">
    <w:abstractNumId w:val="15"/>
  </w:num>
  <w:num w:numId="19">
    <w:abstractNumId w:val="27"/>
    <w:lvlOverride w:ilvl="0">
      <w:startOverride w:val="1"/>
    </w:lvlOverride>
  </w:num>
  <w:num w:numId="20">
    <w:abstractNumId w:val="10"/>
  </w:num>
  <w:num w:numId="21">
    <w:abstractNumId w:val="27"/>
    <w:lvlOverride w:ilvl="0">
      <w:startOverride w:val="1"/>
    </w:lvlOverride>
  </w:num>
  <w:num w:numId="22">
    <w:abstractNumId w:val="24"/>
  </w:num>
  <w:num w:numId="23">
    <w:abstractNumId w:val="17"/>
  </w:num>
  <w:num w:numId="24">
    <w:abstractNumId w:val="18"/>
  </w:num>
  <w:num w:numId="25">
    <w:abstractNumId w:val="12"/>
  </w:num>
  <w:num w:numId="26">
    <w:abstractNumId w:val="14"/>
  </w:num>
  <w:num w:numId="27">
    <w:abstractNumId w:val="20"/>
  </w:num>
  <w:num w:numId="28">
    <w:abstractNumId w:val="19"/>
  </w:num>
  <w:num w:numId="29">
    <w:abstractNumId w:val="13"/>
  </w:num>
  <w:num w:numId="30">
    <w:abstractNumId w:val="23"/>
  </w:num>
  <w:num w:numId="31">
    <w:abstractNumId w:val="21"/>
  </w:num>
  <w:num w:numId="32">
    <w:abstractNumId w:val="25"/>
  </w:num>
  <w:num w:numId="33">
    <w:abstractNumId w:val="11"/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iuB+ko9M4YH/3r9N8C1rUhYAbwkkcY0rvTV41PtRm0IfdeUxGMU9YiPPcFnOF9Ho4jpi6Xm5h3ECSpZsYPMTA==" w:salt="9/KxqscnY5NzkD7kGjdjR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B7E97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4DD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B44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3A63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0B7E97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  <w:style w:type="character" w:customStyle="1" w:styleId="normaltextrun">
    <w:name w:val="normaltextrun"/>
    <w:basedOn w:val="Policepardfaut"/>
    <w:rsid w:val="000B7E97"/>
  </w:style>
  <w:style w:type="character" w:customStyle="1" w:styleId="contextualspellingandgrammarerror">
    <w:name w:val="contextualspellingandgrammarerror"/>
    <w:basedOn w:val="Policepardfaut"/>
    <w:rsid w:val="000B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XMJ56MR34DTR-575564481-5451</_dlc_DocId>
    <_dlc_DocIdUrl xmlns="63f9263d-4c14-4b4f-8df7-566ce5f1e0e4">
      <Url>https://intra.teluq.ca/info/cfc/equipe/projets/jad-trad/_layouts/15/DocIdRedir.aspx?ID=XMJ56MR34DTR-575564481-5451</Url>
      <Description>XMJ56MR34DTR-575564481-5451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868AD-614D-47AB-BDFC-BC5A1049D318}"/>
</file>

<file path=customXml/itemProps3.xml><?xml version="1.0" encoding="utf-8"?>
<ds:datastoreItem xmlns:ds="http://schemas.openxmlformats.org/officeDocument/2006/customXml" ds:itemID="{135DA8D4-4349-420B-88EB-47CE3588BF42}"/>
</file>

<file path=customXml/itemProps4.xml><?xml version="1.0" encoding="utf-8"?>
<ds:datastoreItem xmlns:ds="http://schemas.openxmlformats.org/officeDocument/2006/customXml" ds:itemID="{8241B7AA-D4D4-4696-90D4-88F0BBBC2879}"/>
</file>

<file path=customXml/itemProps5.xml><?xml version="1.0" encoding="utf-8"?>
<ds:datastoreItem xmlns:ds="http://schemas.openxmlformats.org/officeDocument/2006/customXml" ds:itemID="{710F524D-6E91-4AE7-8A21-22A820FDE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27</cp:revision>
  <cp:lastPrinted>2017-10-19T17:11:00Z</cp:lastPrinted>
  <dcterms:created xsi:type="dcterms:W3CDTF">2020-05-02T02:58:00Z</dcterms:created>
  <dcterms:modified xsi:type="dcterms:W3CDTF">2020-06-15T02:48:00Z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1aad15c6-0a0d-4c18-937c-4c192da3c459</vt:lpwstr>
  </property>
</Properties>
</file>